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rPr>
          <w:sz w:val="22"/>
        </w:rPr>
      </w:pPr>
      <w:r>
        <w:rPr>
          <w:sz w:val="22"/>
        </w:rPr>
      </w:r>
    </w:p>
    <w:p>
      <w:pPr>
        <w:pStyle w:val="Normal"/>
        <w:jc w:val="both"/>
        <w:rPr>
          <w:sz w:val="22"/>
        </w:rPr>
      </w:pPr>
      <w:r>
        <w:rPr>
          <w:sz w:val="22"/>
        </w:rPr>
        <w:t>October 16,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Mr. Robert E. Henderson</w:t>
      </w:r>
    </w:p>
    <w:p>
      <w:pPr>
        <w:pStyle w:val="Normal"/>
        <w:jc w:val="both"/>
        <w:rPr>
          <w:sz w:val="22"/>
        </w:rPr>
      </w:pPr>
      <w:r>
        <w:rPr>
          <w:sz w:val="22"/>
        </w:rPr>
        <w:t>13419 Tosca</w:t>
      </w:r>
    </w:p>
    <w:p>
      <w:pPr>
        <w:pStyle w:val="Normal"/>
        <w:jc w:val="both"/>
        <w:rPr>
          <w:sz w:val="22"/>
        </w:rPr>
      </w:pPr>
      <w:r>
        <w:rPr>
          <w:sz w:val="22"/>
        </w:rPr>
        <w:t>Houston, TX  77079</w:t>
      </w:r>
    </w:p>
    <w:p>
      <w:pPr>
        <w:pStyle w:val="Normal"/>
        <w:jc w:val="both"/>
        <w:rPr>
          <w:sz w:val="22"/>
        </w:rPr>
      </w:pPr>
      <w:r>
        <w:rPr>
          <w:sz w:val="22"/>
        </w:rPr>
      </w:r>
    </w:p>
    <w:p>
      <w:pPr>
        <w:pStyle w:val="Normal"/>
        <w:jc w:val="both"/>
        <w:rPr>
          <w:sz w:val="22"/>
        </w:rPr>
      </w:pPr>
      <w:r>
        <w:rPr>
          <w:sz w:val="22"/>
        </w:rPr>
        <w:t>Mr. Michael W. Strickler</w:t>
      </w:r>
    </w:p>
    <w:p>
      <w:pPr>
        <w:pStyle w:val="Normal"/>
        <w:jc w:val="both"/>
        <w:rPr>
          <w:sz w:val="22"/>
        </w:rPr>
      </w:pPr>
      <w:r>
        <w:rPr>
          <w:sz w:val="22"/>
        </w:rPr>
        <w:t>1746 F.M. 1463</w:t>
      </w:r>
    </w:p>
    <w:p>
      <w:pPr>
        <w:pStyle w:val="Normal"/>
        <w:jc w:val="both"/>
        <w:rPr>
          <w:sz w:val="22"/>
        </w:rPr>
      </w:pPr>
      <w:r>
        <w:rPr>
          <w:sz w:val="22"/>
        </w:rPr>
        <w:t>Katy, TX  77494</w:t>
      </w:r>
    </w:p>
    <w:p>
      <w:pPr>
        <w:pStyle w:val="Normal"/>
        <w:jc w:val="both"/>
        <w:rPr>
          <w:sz w:val="22"/>
        </w:rPr>
      </w:pPr>
      <w:r>
        <w:rPr>
          <w:sz w:val="22"/>
        </w:rPr>
      </w:r>
    </w:p>
    <w:p>
      <w:pPr>
        <w:pStyle w:val="Normal"/>
        <w:jc w:val="both"/>
        <w:rPr>
          <w:sz w:val="22"/>
        </w:rPr>
      </w:pPr>
      <w:r>
        <w:rPr>
          <w:sz w:val="22"/>
        </w:rPr>
        <w:t>Mr. L. V. McGuire</w:t>
      </w:r>
    </w:p>
    <w:p>
      <w:pPr>
        <w:pStyle w:val="Normal"/>
        <w:jc w:val="both"/>
        <w:rPr>
          <w:sz w:val="22"/>
        </w:rPr>
      </w:pPr>
      <w:r>
        <w:rPr>
          <w:sz w:val="22"/>
        </w:rPr>
        <w:t>266 Promenade East</w:t>
      </w:r>
    </w:p>
    <w:p>
      <w:pPr>
        <w:pStyle w:val="Normal"/>
        <w:jc w:val="both"/>
        <w:rPr>
          <w:sz w:val="22"/>
        </w:rPr>
      </w:pPr>
      <w:r>
        <w:rPr>
          <w:sz w:val="22"/>
        </w:rPr>
        <w:t>Montgomery, TX  77356</w:t>
      </w:r>
    </w:p>
    <w:p>
      <w:pPr>
        <w:pStyle w:val="Normal"/>
        <w:jc w:val="both"/>
        <w:rPr>
          <w:sz w:val="22"/>
        </w:rPr>
      </w:pPr>
      <w:r>
        <w:rPr>
          <w:sz w:val="22"/>
        </w:rPr>
      </w:r>
    </w:p>
    <w:p>
      <w:pPr>
        <w:pStyle w:val="Normal"/>
        <w:jc w:val="both"/>
        <w:rPr>
          <w:sz w:val="22"/>
        </w:rPr>
      </w:pPr>
      <w:r>
        <w:rPr>
          <w:sz w:val="22"/>
        </w:rPr>
        <w:t>Mr. William Hunt Hodge</w:t>
      </w:r>
    </w:p>
    <w:p>
      <w:pPr>
        <w:pStyle w:val="Normal"/>
        <w:jc w:val="both"/>
        <w:rPr>
          <w:sz w:val="22"/>
        </w:rPr>
      </w:pPr>
      <w:r>
        <w:rPr>
          <w:sz w:val="22"/>
        </w:rPr>
        <w:t>13906 Pebblebrook</w:t>
      </w:r>
    </w:p>
    <w:p>
      <w:pPr>
        <w:pStyle w:val="Normal"/>
        <w:jc w:val="both"/>
        <w:rPr>
          <w:sz w:val="22"/>
        </w:rPr>
      </w:pPr>
      <w:r>
        <w:rPr>
          <w:sz w:val="22"/>
        </w:rPr>
        <w:t>Houston, TX  77079</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overflowPunct w:val="true"/>
        <w:autoSpaceDE w:val="true"/>
        <w:textAlignment w:val="auto"/>
        <w:rPr/>
      </w:pPr>
      <w:r>
        <w:rPr>
          <w:szCs w:val="24"/>
        </w:rPr>
        <w:t>In response to the inquiry dated September 20, 2001, from Robert E. Henderson, Michael W. Strickler, and W. Hunt Hodge, Mariner Energy LLC (“Mariner”) is proposing to you the opportunity to sell your stock in Mariner and terminate your other arrangements with Mariner, Mariner Energy, Inc., and Mariner Holdings, Inc. and their affiliates (collectively, the “Company”) as an integrated package on the terms described herein.  Accordingly, pending the preparation and execution of definitive agreements, this letter confirms our proposal to you regarding the potential purchase by Mariner or its designee (“Buyer”) of the capital stock held by you in Mariner</w:t>
      </w:r>
      <w:r>
        <w:rPr>
          <w:b/>
          <w:bCs/>
          <w:szCs w:val="24"/>
        </w:rPr>
        <w:t xml:space="preserve"> </w:t>
      </w:r>
      <w:r>
        <w:rPr>
          <w:szCs w:val="24"/>
        </w:rPr>
        <w:t>(the “Transaction”), in accordance with the terms and conditions set forth in this letter.</w:t>
      </w:r>
    </w:p>
    <w:p>
      <w:pPr>
        <w:pStyle w:val="Normal"/>
        <w:jc w:val="both"/>
        <w:rPr>
          <w:sz w:val="22"/>
          <w:szCs w:val="24"/>
        </w:rPr>
      </w:pPr>
      <w:r>
        <w:rPr>
          <w:sz w:val="22"/>
          <w:szCs w:val="24"/>
        </w:rPr>
      </w:r>
    </w:p>
    <w:p>
      <w:pPr>
        <w:pStyle w:val="Normal"/>
        <w:ind w:hanging="720" w:start="720" w:end="0"/>
        <w:jc w:val="both"/>
        <w:rPr/>
      </w:pPr>
      <w:r>
        <w:rPr>
          <w:sz w:val="22"/>
        </w:rPr>
        <w:t>1.</w:t>
        <w:tab/>
      </w:r>
      <w:r>
        <w:rPr>
          <w:sz w:val="22"/>
          <w:u w:val="single"/>
        </w:rPr>
        <w:t>Summary of Terms</w:t>
      </w:r>
      <w:r>
        <w:rPr>
          <w:sz w:val="22"/>
        </w:rPr>
        <w:t>.  The Transaction shall be undertaken in accordance with this letter and the Summary of Terms attached hereto as Attachment “A”.  To the extent there is any conflict between the Summary of Terms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sz w:val="22"/>
          <w:u w:val="single"/>
        </w:rPr>
        <w:t>Definitive Agreements</w:t>
      </w:r>
      <w:r>
        <w:rPr>
          <w:sz w:val="22"/>
        </w:rPr>
        <w:t>.  Buyer and each named addressee that executes this letter and elects to  participate in the Transaction (individually, a “Seller” and collectively, the “Sellers”) shall endeavor to incorporate the terms and conditions expressed herein in mutually acceptable definitive agreements (the “Definitive Agreements”) no later than November 16, 2001 (the “Termination Date”).  The Definitive Agreements shall provide for the closing of the contemplated transactions promptly following the execution of the Definitive Agreements.  In the event Buyer and any Seller are unable to execute the Definitive Agreements by the Termination Date for any reason, this letter shall be deemed terminated as to Buyer and such Seller, and neither Buyer nor such Seller shall have any further obligation to the other hereunder, except as provided in paragraphs 3 and 4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pPr>
      <w:r>
        <w:rPr>
          <w:sz w:val="22"/>
        </w:rPr>
        <w:t>3.</w:t>
        <w:tab/>
      </w:r>
      <w:r>
        <w:rPr>
          <w:sz w:val="22"/>
          <w:u w:val="single"/>
        </w:rPr>
        <w:t>Confidentiality</w:t>
      </w:r>
      <w:r>
        <w:rPr>
          <w:sz w:val="22"/>
        </w:rPr>
        <w:t>.  The existence of this letter and its contents are intended to be confidential and are not to be discussed with or disclosed to any third party, except (i) with the express prior written consent of all other parties hereto, (ii) as may be required or appropriate in response to any summons, subpoena or discovery order or to comply with any applicable law, order, regulation or ruling, or (iii) as Buyer and Sellers reasonably deem appropriate to counsel, financial and accounting advisors, financing sources or other representatives involved or requested to become involved in the Transaction in order to conduct due diligence or other investigation for the purpose of completing the contemplated Transaction.</w:t>
      </w:r>
    </w:p>
    <w:p>
      <w:pPr>
        <w:pStyle w:val="Normal"/>
        <w:ind w:hanging="720" w:start="720" w:end="0"/>
        <w:jc w:val="both"/>
        <w:rPr>
          <w:sz w:val="22"/>
        </w:rPr>
      </w:pPr>
      <w:r>
        <w:rPr>
          <w:sz w:val="22"/>
        </w:rPr>
      </w:r>
    </w:p>
    <w:p>
      <w:pPr>
        <w:pStyle w:val="Normal"/>
        <w:ind w:hanging="720" w:start="720" w:end="0"/>
        <w:jc w:val="both"/>
        <w:rPr/>
      </w:pPr>
      <w:r>
        <w:rPr>
          <w:sz w:val="22"/>
        </w:rPr>
        <w:t>4.</w:t>
        <w:tab/>
      </w:r>
      <w:r>
        <w:rPr>
          <w:sz w:val="22"/>
          <w:u w:val="single"/>
        </w:rPr>
        <w:t>Expenses</w:t>
      </w:r>
      <w:r>
        <w:rPr>
          <w:sz w:val="22"/>
        </w:rPr>
        <w:t>.  Each Seller and Buyer shall be responsible for and agrees to pay all of his or its own legal fees, professional fees and other transaction costs incurred in the evaluation and negotiation of the proposed Transaction and the Definitive Agreements, regardless of whether the Transaction closes.</w:t>
      </w:r>
    </w:p>
    <w:p>
      <w:pPr>
        <w:pStyle w:val="Normal"/>
        <w:ind w:hanging="720" w:start="720" w:end="0"/>
        <w:jc w:val="both"/>
        <w:rPr>
          <w:sz w:val="22"/>
        </w:rPr>
      </w:pPr>
      <w:r>
        <w:rPr>
          <w:sz w:val="22"/>
        </w:rPr>
      </w:r>
    </w:p>
    <w:p>
      <w:pPr>
        <w:pStyle w:val="Normal"/>
        <w:ind w:hanging="720" w:start="720" w:end="0"/>
        <w:jc w:val="both"/>
        <w:rPr/>
      </w:pPr>
      <w:r>
        <w:rPr>
          <w:sz w:val="22"/>
        </w:rPr>
        <w:t>5.</w:t>
        <w:tab/>
      </w:r>
      <w:r>
        <w:rPr>
          <w:sz w:val="22"/>
          <w:u w:val="single"/>
        </w:rPr>
        <w:t>Board of Director Approval</w:t>
      </w:r>
      <w:r>
        <w:rPr>
          <w:sz w:val="22"/>
        </w:rPr>
        <w:t>.  The closing of the contemplated Transaction is subject to, in addition to the other conditions herein and in the Summary of Terms, the approval of the board of directors of Buyer, which approval has not yet been obtained.</w:t>
      </w:r>
    </w:p>
    <w:p>
      <w:pPr>
        <w:pStyle w:val="Normal"/>
        <w:ind w:hanging="720" w:start="720" w:end="0"/>
        <w:jc w:val="both"/>
        <w:rPr>
          <w:sz w:val="22"/>
        </w:rPr>
      </w:pPr>
      <w:r>
        <w:rPr>
          <w:sz w:val="22"/>
        </w:rPr>
      </w:r>
    </w:p>
    <w:p>
      <w:pPr>
        <w:pStyle w:val="Normal"/>
        <w:ind w:hanging="720" w:start="720" w:end="0"/>
        <w:jc w:val="both"/>
        <w:rPr/>
      </w:pPr>
      <w:r>
        <w:rPr>
          <w:sz w:val="22"/>
        </w:rPr>
        <w:t>6.</w:t>
        <w:tab/>
      </w:r>
      <w:r>
        <w:rPr>
          <w:sz w:val="22"/>
          <w:u w:val="single"/>
        </w:rPr>
        <w:t>Non-binding Nature</w:t>
      </w:r>
      <w:r>
        <w:rPr>
          <w:sz w:val="22"/>
        </w:rPr>
        <w:t>.  Except as to the provisions of paragraphs 3 and 4 hereof (which shall be binding contracts between each Seller and the Buyer), the parties hereto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among the parties or a duty on the part of any party to negotiate in good faith toward a binding contract, and may not be relied upon by any party as the basis for a contract by estoppel or otherwise, but rather evidences a non-binding expression of good faith understanding to endeavor, without obligation, to negotiate mutually agreeable definitive agreements.</w:t>
      </w:r>
    </w:p>
    <w:p>
      <w:pPr>
        <w:pStyle w:val="Normal"/>
        <w:ind w:firstLine="720" w:end="0"/>
        <w:jc w:val="both"/>
        <w:rPr>
          <w:sz w:val="22"/>
        </w:rPr>
      </w:pPr>
      <w:r>
        <w:rPr>
          <w:sz w:val="22"/>
        </w:rPr>
      </w:r>
    </w:p>
    <w:p>
      <w:pPr>
        <w:pStyle w:val="Normal"/>
        <w:ind w:hanging="720" w:start="720" w:end="0"/>
        <w:jc w:val="both"/>
        <w:rPr/>
      </w:pPr>
      <w:r>
        <w:rPr>
          <w:sz w:val="22"/>
        </w:rPr>
        <w:t>7.</w:t>
        <w:tab/>
      </w:r>
      <w:r>
        <w:rPr>
          <w:sz w:val="22"/>
          <w:u w:val="single"/>
        </w:rPr>
        <w:t>No Oral Agreements</w:t>
      </w:r>
      <w:r>
        <w:rPr>
          <w:sz w:val="22"/>
        </w:rPr>
        <w:t>.  Subject to the foregoing, this letter and the Summary of Terms set out the parties’ understanding as of this date, and there are no other written or oral agreements or understandings among the parties.</w:t>
      </w:r>
    </w:p>
    <w:p>
      <w:pPr>
        <w:pStyle w:val="Normal"/>
        <w:ind w:hanging="720" w:start="720" w:end="0"/>
        <w:jc w:val="both"/>
        <w:rPr>
          <w:sz w:val="22"/>
        </w:rPr>
      </w:pPr>
      <w:r>
        <w:rPr>
          <w:sz w:val="22"/>
        </w:rPr>
      </w:r>
    </w:p>
    <w:p>
      <w:pPr>
        <w:pStyle w:val="Normal"/>
        <w:ind w:hanging="720" w:start="720" w:end="0"/>
        <w:jc w:val="both"/>
        <w:rPr/>
      </w:pPr>
      <w:r>
        <w:rPr>
          <w:sz w:val="22"/>
        </w:rPr>
        <w:t>8.</w:t>
        <w:tab/>
      </w:r>
      <w:r>
        <w:rPr>
          <w:sz w:val="22"/>
          <w:u w:val="single"/>
        </w:rPr>
        <w:t>Counterparts</w:t>
      </w:r>
      <w:r>
        <w:rPr>
          <w:sz w:val="22"/>
        </w:rPr>
        <w:t>.  This letter may be executed in multiple counterparts, and all of such counterparts taken together shall be deemed to constitute one and the same instrument.</w:t>
      </w:r>
    </w:p>
    <w:p>
      <w:pPr>
        <w:pStyle w:val="Normal"/>
        <w:jc w:val="both"/>
        <w:rPr>
          <w:sz w:val="22"/>
        </w:rPr>
      </w:pPr>
      <w:r>
        <w:rPr>
          <w:sz w:val="22"/>
        </w:rPr>
      </w:r>
    </w:p>
    <w:p>
      <w:pPr>
        <w:pStyle w:val="BodyText"/>
        <w:keepNext w:val="true"/>
        <w:keepLines/>
        <w:rPr/>
      </w:pPr>
      <w:r>
        <w:rPr/>
        <w:t>If the terms and conditions of this letter are acceptable to you, please sign and return the enclosed counterpart of this letter to be received by the undersigned at Mariner no later than October 23, 2001.  If counterparts of this letter signed by you are not received by October 23, 2001, this letter shall be null and void as between you and Mariner.</w:t>
      </w:r>
    </w:p>
    <w:p>
      <w:pPr>
        <w:pStyle w:val="Normal"/>
        <w:keepNext w:val="true"/>
        <w:keepLines/>
        <w:jc w:val="both"/>
        <w:rPr>
          <w:sz w:val="22"/>
        </w:rPr>
      </w:pPr>
      <w:r>
        <w:rPr>
          <w:sz w:val="22"/>
        </w:rPr>
      </w:r>
    </w:p>
    <w:p>
      <w:pPr>
        <w:pStyle w:val="Normal"/>
        <w:keepNext w:val="true"/>
        <w:keepLines/>
        <w:ind w:start="4320" w:end="0"/>
        <w:jc w:val="both"/>
        <w:rPr>
          <w:sz w:val="22"/>
        </w:rPr>
      </w:pPr>
      <w:r>
        <w:rPr>
          <w:sz w:val="22"/>
        </w:rPr>
        <w:t>Very truly yours,</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sz w:val="22"/>
        </w:rPr>
      </w:pPr>
      <w:r>
        <w:rPr>
          <w:sz w:val="22"/>
        </w:rPr>
        <w:t>MARINER ENERGY LLC</w:t>
      </w:r>
    </w:p>
    <w:p>
      <w:pPr>
        <w:pStyle w:val="Normal"/>
        <w:keepNext w:val="true"/>
        <w:keepLines/>
        <w:ind w:start="4320" w:end="0"/>
        <w:jc w:val="both"/>
        <w:rPr>
          <w:sz w:val="22"/>
        </w:rPr>
      </w:pPr>
      <w:r>
        <w:rPr>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keepNext w:val="true"/>
        <w:widowControl w:val="false"/>
        <w:jc w:val="both"/>
        <w:rPr>
          <w:sz w:val="22"/>
        </w:rPr>
      </w:pPr>
      <w:r>
        <w:rPr>
          <w:sz w:val="22"/>
        </w:rPr>
        <w:t>AGREED this ____ day of October, 2001, by:</w:t>
      </w:r>
    </w:p>
    <w:p>
      <w:pPr>
        <w:pStyle w:val="Normal"/>
        <w:keepNext w:val="true"/>
        <w:widowControl w:val="false"/>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clear" w:pos="720"/>
          <w:tab w:val="left" w:pos="3600" w:leader="none"/>
          <w:tab w:val="right" w:pos="5040" w:leader="none"/>
        </w:tabs>
        <w:jc w:val="both"/>
        <w:rPr>
          <w:sz w:val="22"/>
        </w:rPr>
      </w:pPr>
      <w:r>
        <w:rPr>
          <w:sz w:val="22"/>
          <w:u w:val="single"/>
        </w:rPr>
        <w:tab/>
      </w:r>
    </w:p>
    <w:p>
      <w:pPr>
        <w:pStyle w:val="Normal"/>
        <w:keepNext w:val="true"/>
        <w:widowControl w:val="false"/>
        <w:jc w:val="both"/>
        <w:rPr>
          <w:sz w:val="22"/>
        </w:rPr>
      </w:pPr>
      <w:r>
        <w:rPr>
          <w:sz w:val="22"/>
        </w:rPr>
        <w:t>ROBERT E. HENDERSON</w:t>
      </w:r>
    </w:p>
    <w:p>
      <w:pPr>
        <w:pStyle w:val="Normal"/>
        <w:keepNext w:val="true"/>
        <w:widowControl w:val="false"/>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jc w:val="both"/>
        <w:rPr>
          <w:sz w:val="22"/>
          <w:u w:val="single"/>
        </w:rPr>
      </w:pPr>
      <w:r>
        <w:rPr>
          <w:sz w:val="22"/>
          <w:u w:val="single"/>
        </w:rPr>
        <w:tab/>
        <w:tab/>
        <w:tab/>
        <w:tab/>
        <w:tab/>
      </w:r>
    </w:p>
    <w:p>
      <w:pPr>
        <w:pStyle w:val="Normal"/>
        <w:keepNext w:val="true"/>
        <w:widowControl w:val="false"/>
        <w:tabs>
          <w:tab w:val="left" w:pos="720" w:leader="none"/>
          <w:tab w:val="right" w:pos="5040" w:leader="none"/>
        </w:tabs>
        <w:jc w:val="both"/>
        <w:rPr>
          <w:sz w:val="22"/>
        </w:rPr>
      </w:pPr>
      <w:r>
        <w:rPr>
          <w:sz w:val="22"/>
        </w:rPr>
        <w:t>MICHAEL W. STRICKLER</w:t>
      </w:r>
    </w:p>
    <w:p>
      <w:pPr>
        <w:pStyle w:val="Normal"/>
        <w:keepNext w:val="true"/>
        <w:widowControl w:val="false"/>
        <w:tabs>
          <w:tab w:val="left" w:pos="720" w:leader="none"/>
          <w:tab w:val="right" w:pos="5040" w:leader="none"/>
        </w:tabs>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r>
    </w:p>
    <w:p>
      <w:pPr>
        <w:pStyle w:val="Normal"/>
        <w:keepNext w:val="true"/>
        <w:widowControl w:val="false"/>
        <w:tabs>
          <w:tab w:val="left" w:pos="720" w:leader="none"/>
          <w:tab w:val="left" w:pos="3600" w:leader="none"/>
          <w:tab w:val="right" w:pos="5040" w:leader="none"/>
        </w:tabs>
        <w:jc w:val="both"/>
        <w:rPr>
          <w:sz w:val="22"/>
        </w:rPr>
      </w:pPr>
      <w:r>
        <w:rPr>
          <w:sz w:val="22"/>
          <w:u w:val="single"/>
        </w:rPr>
        <w:tab/>
        <w:tab/>
      </w:r>
    </w:p>
    <w:p>
      <w:pPr>
        <w:pStyle w:val="Normal"/>
        <w:keepNext w:val="true"/>
        <w:widowControl w:val="false"/>
        <w:tabs>
          <w:tab w:val="left" w:pos="720" w:leader="none"/>
          <w:tab w:val="left" w:pos="3600" w:leader="none"/>
          <w:tab w:val="right" w:pos="5040" w:leader="none"/>
        </w:tabs>
        <w:jc w:val="both"/>
        <w:rPr>
          <w:sz w:val="22"/>
        </w:rPr>
      </w:pPr>
      <w:r>
        <w:rPr>
          <w:sz w:val="22"/>
        </w:rPr>
        <w:t>L. V. MCGUIRE</w:t>
      </w:r>
    </w:p>
    <w:p>
      <w:pPr>
        <w:pStyle w:val="Normal"/>
        <w:keepNext w:val="true"/>
        <w:widowControl w:val="false"/>
        <w:tabs>
          <w:tab w:val="left" w:pos="720" w:leader="none"/>
          <w:tab w:val="left" w:pos="3600" w:leader="none"/>
          <w:tab w:val="right" w:pos="5040" w:leader="none"/>
        </w:tabs>
        <w:jc w:val="both"/>
        <w:rPr>
          <w:sz w:val="22"/>
        </w:rPr>
      </w:pPr>
      <w:r>
        <w:rPr>
          <w:sz w:val="22"/>
        </w:rPr>
      </w:r>
    </w:p>
    <w:p>
      <w:pPr>
        <w:pStyle w:val="Normal"/>
        <w:keepNext w:val="true"/>
        <w:widowControl w:val="false"/>
        <w:tabs>
          <w:tab w:val="left" w:pos="720" w:leader="none"/>
          <w:tab w:val="left" w:pos="3600" w:leader="none"/>
          <w:tab w:val="right" w:pos="5040" w:leader="none"/>
        </w:tabs>
        <w:jc w:val="both"/>
        <w:rPr>
          <w:sz w:val="22"/>
        </w:rPr>
      </w:pPr>
      <w:r>
        <w:rPr>
          <w:sz w:val="22"/>
        </w:rPr>
      </w:r>
    </w:p>
    <w:p>
      <w:pPr>
        <w:pStyle w:val="Normal"/>
        <w:keepNext w:val="true"/>
        <w:widowControl w:val="false"/>
        <w:tabs>
          <w:tab w:val="left" w:pos="720" w:leader="none"/>
          <w:tab w:val="left" w:pos="3600" w:leader="none"/>
          <w:tab w:val="right" w:pos="5040" w:leader="none"/>
        </w:tabs>
        <w:jc w:val="both"/>
        <w:rPr>
          <w:sz w:val="22"/>
        </w:rPr>
      </w:pPr>
      <w:r>
        <w:rPr>
          <w:sz w:val="22"/>
          <w:u w:val="single"/>
        </w:rPr>
        <w:tab/>
        <w:tab/>
      </w:r>
    </w:p>
    <w:p>
      <w:pPr>
        <w:pStyle w:val="Normal"/>
        <w:keepNext w:val="true"/>
        <w:widowControl w:val="false"/>
        <w:tabs>
          <w:tab w:val="left" w:pos="720" w:leader="none"/>
          <w:tab w:val="left" w:pos="3600" w:leader="none"/>
          <w:tab w:val="right" w:pos="5040" w:leader="none"/>
        </w:tabs>
        <w:jc w:val="both"/>
        <w:rPr>
          <w:sz w:val="22"/>
        </w:rPr>
      </w:pPr>
      <w:r>
        <w:rPr>
          <w:sz w:val="22"/>
        </w:rPr>
        <w:t>WILLIAM HUNT HODGE</w:t>
      </w:r>
    </w:p>
    <w:p>
      <w:pPr>
        <w:sectPr>
          <w:headerReference w:type="default" r:id="rId2"/>
          <w:headerReference w:type="first" r:id="rId3"/>
          <w:footerReference w:type="default" r:id="rId4"/>
          <w:footerReference w:type="first" r:id="rId5"/>
          <w:type w:val="nextPage"/>
          <w:pgSz w:w="12240" w:h="15840"/>
          <w:pgMar w:left="1440" w:right="1440" w:gutter="0" w:header="720" w:top="1685" w:footer="720" w:bottom="1440"/>
          <w:pgNumType w:start="1" w:fmt="decimal"/>
          <w:formProt w:val="false"/>
          <w:titlePg/>
          <w:textDirection w:val="lrTb"/>
          <w:docGrid w:type="default" w:linePitch="360" w:charSpace="0"/>
        </w:sectPr>
        <w:pStyle w:val="Normal"/>
        <w:keepNext w:val="true"/>
        <w:widowControl w:val="false"/>
        <w:tabs>
          <w:tab w:val="left" w:pos="720" w:leader="none"/>
          <w:tab w:val="right" w:pos="5040" w:leader="none"/>
        </w:tabs>
        <w:jc w:val="both"/>
        <w:rPr>
          <w:sz w:val="22"/>
          <w:u w:val="single"/>
        </w:rPr>
      </w:pPr>
      <w:r>
        <w:rPr>
          <w:sz w:val="22"/>
          <w:u w:val="single"/>
        </w:rPr>
      </w:r>
    </w:p>
    <w:p>
      <w:pPr>
        <w:pStyle w:val="Normal"/>
        <w:jc w:val="end"/>
        <w:rPr>
          <w:sz w:val="22"/>
          <w:u w:val="single"/>
        </w:rPr>
      </w:pPr>
      <w:r>
        <w:rPr>
          <w:sz w:val="22"/>
          <w:u w:val="single"/>
        </w:rPr>
      </w:r>
    </w:p>
    <w:p>
      <w:pPr>
        <w:pStyle w:val="Heading1"/>
        <w:ind w:hanging="0" w:start="0"/>
        <w:rPr/>
      </w:pPr>
      <w:r>
        <w:rPr/>
        <w:t>ATTACHMENT "A"</w:t>
      </w:r>
    </w:p>
    <w:p>
      <w:pPr>
        <w:pStyle w:val="Normal"/>
        <w:jc w:val="center"/>
        <w:rPr>
          <w:b/>
          <w:sz w:val="22"/>
        </w:rPr>
      </w:pPr>
      <w:r>
        <w:rPr>
          <w:b/>
          <w:sz w:val="22"/>
        </w:rPr>
        <w:t>SUMMARY OF TERMS</w:t>
      </w:r>
    </w:p>
    <w:p>
      <w:pPr>
        <w:pStyle w:val="Normal"/>
        <w:jc w:val="center"/>
        <w:rPr>
          <w:b/>
          <w:sz w:val="22"/>
        </w:rPr>
      </w:pPr>
      <w:r>
        <w:rPr>
          <w:b/>
          <w:sz w:val="22"/>
        </w:rPr>
      </w:r>
    </w:p>
    <w:p>
      <w:pPr>
        <w:pStyle w:val="Normal"/>
        <w:jc w:val="center"/>
        <w:rPr>
          <w:b/>
          <w:sz w:val="22"/>
        </w:rPr>
      </w:pPr>
      <w:r>
        <w:rPr>
          <w:b/>
          <w:sz w:val="22"/>
        </w:rPr>
      </w:r>
    </w:p>
    <w:p>
      <w:pPr>
        <w:pStyle w:val="Normal"/>
        <w:jc w:val="both"/>
        <w:rPr/>
      </w:pPr>
      <w:r>
        <w:rPr>
          <w:b/>
          <w:sz w:val="22"/>
          <w:u w:val="single"/>
        </w:rPr>
        <w:t>Transaction</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Purchase and sale of all capital stock of the Company and warrants and options or other rights to acquire capital stock or securities convertible into or exchangeable for capital stock of the Company (collectively, the “Capital Stock”) owned by Sellers.</w:t>
      </w:r>
    </w:p>
    <w:p>
      <w:pPr>
        <w:pStyle w:val="Normal"/>
        <w:ind w:hanging="360" w:start="360" w:end="0"/>
        <w:jc w:val="both"/>
        <w:rPr>
          <w:b/>
          <w:sz w:val="22"/>
          <w:u w:val="single"/>
        </w:rPr>
      </w:pPr>
      <w:r>
        <w:rPr>
          <w:b/>
          <w:sz w:val="22"/>
          <w:u w:val="single"/>
        </w:rPr>
      </w:r>
    </w:p>
    <w:p>
      <w:pPr>
        <w:pStyle w:val="Normal"/>
        <w:ind w:hanging="360" w:start="360" w:end="0"/>
        <w:jc w:val="both"/>
        <w:rPr/>
      </w:pPr>
      <w:r>
        <w:rPr>
          <w:b/>
          <w:sz w:val="22"/>
          <w:u w:val="single"/>
        </w:rPr>
        <w:t>Sellers</w:t>
      </w:r>
      <w:r>
        <w:rPr>
          <w:b/>
          <w:sz w:val="22"/>
        </w:rPr>
        <w:t>:</w:t>
      </w:r>
    </w:p>
    <w:p>
      <w:pPr>
        <w:pStyle w:val="Normal"/>
        <w:ind w:hanging="360" w:start="720" w:end="0"/>
        <w:jc w:val="both"/>
        <w:rPr>
          <w:b/>
          <w:sz w:val="22"/>
        </w:rPr>
      </w:pPr>
      <w:r>
        <w:rPr>
          <w:b/>
          <w:sz w:val="22"/>
        </w:rPr>
      </w:r>
    </w:p>
    <w:p>
      <w:pPr>
        <w:pStyle w:val="Normal"/>
        <w:ind w:hanging="360" w:start="720" w:end="0"/>
        <w:jc w:val="both"/>
        <w:rPr>
          <w:sz w:val="22"/>
        </w:rPr>
      </w:pPr>
      <w:r>
        <w:rPr>
          <w:sz w:val="22"/>
        </w:rPr>
        <w:t xml:space="preserve">Robert E. Henderson (and spouse) </w:t>
      </w:r>
    </w:p>
    <w:p>
      <w:pPr>
        <w:pStyle w:val="Normal"/>
        <w:ind w:hanging="360" w:start="720" w:end="0"/>
        <w:jc w:val="both"/>
        <w:rPr>
          <w:sz w:val="22"/>
        </w:rPr>
      </w:pPr>
      <w:r>
        <w:rPr>
          <w:sz w:val="22"/>
        </w:rPr>
        <w:t>Michael W. Strickler (and spouse)</w:t>
      </w:r>
    </w:p>
    <w:p>
      <w:pPr>
        <w:pStyle w:val="Normal"/>
        <w:ind w:hanging="360" w:start="720" w:end="0"/>
        <w:jc w:val="both"/>
        <w:rPr>
          <w:sz w:val="22"/>
        </w:rPr>
      </w:pPr>
      <w:r>
        <w:rPr>
          <w:sz w:val="22"/>
        </w:rPr>
        <w:t>L. V. McGuire (and spouse)</w:t>
      </w:r>
    </w:p>
    <w:p>
      <w:pPr>
        <w:pStyle w:val="Normal"/>
        <w:ind w:hanging="360" w:start="720" w:end="0"/>
        <w:jc w:val="both"/>
        <w:rPr>
          <w:sz w:val="22"/>
        </w:rPr>
      </w:pPr>
      <w:r>
        <w:rPr>
          <w:sz w:val="22"/>
        </w:rPr>
        <w:t>William Hunt Hodge (and spouse)</w:t>
        <w:tab/>
      </w:r>
    </w:p>
    <w:p>
      <w:pPr>
        <w:pStyle w:val="Normal"/>
        <w:ind w:hanging="360" w:start="360" w:end="0"/>
        <w:jc w:val="both"/>
        <w:rPr>
          <w:b/>
          <w:sz w:val="22"/>
          <w:u w:val="single"/>
        </w:rPr>
      </w:pPr>
      <w:r>
        <w:rPr>
          <w:b/>
          <w:sz w:val="22"/>
          <w:u w:val="single"/>
        </w:rPr>
      </w:r>
    </w:p>
    <w:p>
      <w:pPr>
        <w:pStyle w:val="Normal"/>
        <w:ind w:hanging="360" w:start="360" w:end="0"/>
        <w:jc w:val="both"/>
        <w:rPr/>
      </w:pPr>
      <w:r>
        <w:rPr>
          <w:b/>
          <w:sz w:val="22"/>
          <w:u w:val="single"/>
        </w:rPr>
        <w:t>Buyer</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Mariner Energy LLC or its designee</w:t>
      </w:r>
    </w:p>
    <w:p>
      <w:pPr>
        <w:pStyle w:val="Normal"/>
        <w:ind w:hanging="360" w:start="360" w:end="0"/>
        <w:jc w:val="both"/>
        <w:rPr>
          <w:sz w:val="22"/>
        </w:rPr>
      </w:pPr>
      <w:r>
        <w:rPr>
          <w:sz w:val="22"/>
        </w:rPr>
      </w:r>
    </w:p>
    <w:p>
      <w:pPr>
        <w:pStyle w:val="Normal"/>
        <w:ind w:hanging="360" w:start="360" w:end="0"/>
        <w:jc w:val="both"/>
        <w:rPr/>
      </w:pPr>
      <w:r>
        <w:rPr>
          <w:b/>
          <w:sz w:val="22"/>
          <w:u w:val="single"/>
        </w:rPr>
        <w:t>Purchase Price</w:t>
      </w:r>
      <w:r>
        <w:rPr>
          <w:b/>
          <w:sz w:val="22"/>
        </w:rPr>
        <w:t>:</w:t>
      </w:r>
    </w:p>
    <w:p>
      <w:pPr>
        <w:pStyle w:val="Normal"/>
        <w:ind w:hanging="360" w:start="360" w:end="0"/>
        <w:jc w:val="both"/>
        <w:rPr>
          <w:b/>
          <w:sz w:val="22"/>
        </w:rPr>
      </w:pPr>
      <w:r>
        <w:rPr>
          <w:b/>
          <w:sz w:val="22"/>
        </w:rPr>
      </w:r>
    </w:p>
    <w:p>
      <w:pPr>
        <w:pStyle w:val="BodyTextIndent2"/>
        <w:rPr/>
      </w:pPr>
      <w:r>
        <w:rPr/>
        <w:tab/>
        <w:t xml:space="preserve">The purchase price for the Capital Stock will be based upon a total gross enterprise value for the Company of $350 million less applicable long-term debt as of September 30, 2001 (including, without limitation, the 10-1/2% Senior Subordinated Notes issued by Mariner Energy, Inc., the debt of Mariner Energy, Inc. to Bank of America </w:t>
      </w:r>
      <w:r>
        <w:rPr>
          <w:u w:val="single"/>
        </w:rPr>
        <w:t>et</w:t>
      </w:r>
      <w:r>
        <w:rPr/>
        <w:t xml:space="preserve"> </w:t>
      </w:r>
      <w:r>
        <w:rPr>
          <w:u w:val="single"/>
        </w:rPr>
        <w:t>al</w:t>
      </w:r>
      <w:r>
        <w:rPr/>
        <w:t>., and the debt of Mariner to Enron North America Corp.); provided, however, that if Joint Energy Development Investments Limited Partnership (“JEDI”) enters into</w:t>
      </w:r>
      <w:r>
        <w:rPr>
          <w:bCs/>
        </w:rPr>
        <w:t xml:space="preserve"> a sales transaction for JEDI’s common stock in Mariner within the six-month period following the closing of the Transaction that reflects a total gross enterprise value greater than $350 million, an additional payment will be made to each Seller to provide the benefit of such greater value.  Such additional payment shall not be payable with regard to any transaction other than the sale of all of the capital stock of Mariner owned by JEDI for cash or publicly-traded stock.  Set forth on Appendix A attached hereto are preliminary calculations of the approximate portions of the purchase price attributable to each Seller’s Capital Stock.     </w:t>
      </w:r>
    </w:p>
    <w:p>
      <w:pPr>
        <w:pStyle w:val="Normal"/>
        <w:ind w:hanging="360" w:start="360" w:end="0"/>
        <w:jc w:val="both"/>
        <w:rPr>
          <w:bCs/>
          <w:sz w:val="22"/>
        </w:rPr>
      </w:pPr>
      <w:r>
        <w:rPr>
          <w:bCs/>
          <w:sz w:val="22"/>
        </w:rPr>
      </w:r>
    </w:p>
    <w:p>
      <w:pPr>
        <w:pStyle w:val="Normal"/>
        <w:ind w:hanging="360" w:start="360" w:end="0"/>
        <w:jc w:val="both"/>
        <w:rPr/>
      </w:pPr>
      <w:r>
        <w:rPr>
          <w:b/>
          <w:sz w:val="22"/>
          <w:u w:val="single"/>
        </w:rPr>
        <w:t>Conditions Precedent</w:t>
      </w:r>
      <w:r>
        <w:rPr>
          <w:b/>
          <w:sz w:val="22"/>
        </w:rPr>
        <w:t>:</w:t>
      </w:r>
    </w:p>
    <w:p>
      <w:pPr>
        <w:pStyle w:val="Normal"/>
        <w:ind w:hanging="360" w:start="360" w:end="0"/>
        <w:jc w:val="both"/>
        <w:rPr>
          <w:b/>
          <w:sz w:val="22"/>
        </w:rPr>
      </w:pPr>
      <w:r>
        <w:rPr>
          <w:b/>
          <w:sz w:val="22"/>
        </w:rPr>
      </w:r>
    </w:p>
    <w:p>
      <w:pPr>
        <w:pStyle w:val="Normal"/>
        <w:spacing w:before="0" w:after="120"/>
        <w:ind w:hanging="360" w:start="360" w:end="0"/>
        <w:jc w:val="both"/>
        <w:rPr>
          <w:sz w:val="22"/>
        </w:rPr>
      </w:pPr>
      <w:r>
        <w:rPr>
          <w:sz w:val="22"/>
        </w:rPr>
        <w:tab/>
        <w:t>The closing of the Transaction will be subject to the following conditions precedent:</w:t>
      </w:r>
    </w:p>
    <w:p>
      <w:pPr>
        <w:pStyle w:val="Normal"/>
        <w:numPr>
          <w:ilvl w:val="0"/>
          <w:numId w:val="2"/>
        </w:numPr>
        <w:tabs>
          <w:tab w:val="left" w:pos="360" w:leader="none"/>
          <w:tab w:val="left" w:pos="720" w:leader="none"/>
        </w:tabs>
        <w:spacing w:before="0" w:after="120"/>
        <w:jc w:val="both"/>
        <w:rPr>
          <w:sz w:val="22"/>
        </w:rPr>
      </w:pPr>
      <w:r>
        <w:rPr>
          <w:sz w:val="22"/>
        </w:rPr>
        <w:t>The execution of Definitive Agreements satisfactory to Buyer for the sale by Sellers of the Capital Stock to the Buyer, including a Purchase and Sale Agreement joined in and consented to by the wives of Sellers and other documents required by Buyer to implement the terms hereof;</w:t>
      </w:r>
    </w:p>
    <w:p>
      <w:pPr>
        <w:pStyle w:val="Normal"/>
        <w:tabs>
          <w:tab w:val="clear" w:pos="720"/>
          <w:tab w:val="left" w:pos="360" w:leader="none"/>
        </w:tabs>
        <w:spacing w:before="0" w:after="120"/>
        <w:ind w:hanging="720" w:start="720" w:end="0"/>
        <w:jc w:val="both"/>
        <w:rPr>
          <w:sz w:val="22"/>
        </w:rPr>
      </w:pPr>
      <w:r>
        <w:rPr>
          <w:sz w:val="22"/>
        </w:rPr>
        <w:tab/>
        <w:t>2)</w:t>
        <w:tab/>
        <w:t>The delivery to Buyer of certificates evidencing the Capital Stock, duly endorsed and in proper form for transfer to Buyer by delivery under applicable law or accompanied by duly executed instruments of transfer in blank and any accompanying documentation deemed appropriate by Buyer to evidence the relinquishment of any claims to or in respect of Capital Stock not represented by certificates;</w:t>
      </w:r>
    </w:p>
    <w:p>
      <w:pPr>
        <w:pStyle w:val="Normal"/>
        <w:tabs>
          <w:tab w:val="clear" w:pos="720"/>
          <w:tab w:val="left" w:pos="360" w:leader="none"/>
        </w:tabs>
        <w:spacing w:before="0" w:after="120"/>
        <w:ind w:hanging="720" w:start="720" w:end="0"/>
        <w:jc w:val="both"/>
        <w:rPr/>
      </w:pPr>
      <w:r>
        <w:rPr>
          <w:sz w:val="22"/>
        </w:rPr>
        <w:tab/>
        <w:t>3)</w:t>
        <w:tab/>
        <w:t xml:space="preserve">The delivery to Buyer of release agreements in form and substance satisfactory to Buyer from  Sellers and their wives releasing Enron North America Corp. (formerly known as Enron Capital &amp; Trade Resources Corp., “ENA”), JEDI, and the Company and their respective shareholders, partners, officers, directors, employees, agents and affiliates and all related parties (the “Released Parties”) of all claims and liabilities, known and unknown, matured and unmatured, fixed or contingent, arising from, in connection with, or related to any act or omission of any of the Released Parties, including, without limitation, in connection with (i) any shareholders’ agreement among the Company, Sellers, ENA, JEDI, </w:t>
      </w:r>
      <w:r>
        <w:rPr>
          <w:sz w:val="22"/>
          <w:u w:val="single"/>
        </w:rPr>
        <w:t>et</w:t>
      </w:r>
      <w:r>
        <w:rPr>
          <w:sz w:val="22"/>
        </w:rPr>
        <w:t xml:space="preserve"> </w:t>
      </w:r>
      <w:r>
        <w:rPr>
          <w:sz w:val="22"/>
          <w:u w:val="single"/>
        </w:rPr>
        <w:t>al</w:t>
      </w:r>
      <w:r>
        <w:rPr>
          <w:sz w:val="22"/>
        </w:rPr>
        <w:t>., as amended, (ii) any stock option agreements between a Seller and the Company, as amended, (iii) any employment agreement between a Seller and the Company, as amended, (iv) the relationship between each of the Sellers and the Released Parties, (v) the acquisition and ownership by the Released Parties of the capital stock, warrants, options, and any other securities or indebtedness of the Company and its predecessors, (vi) the acquisition and ownership by each Seller of Capital Stock, (vii) the business conducted by the Company, and (viii) the employment and termination of employment of Sellers with the Company;</w:t>
      </w:r>
    </w:p>
    <w:p>
      <w:pPr>
        <w:pStyle w:val="Normal"/>
        <w:tabs>
          <w:tab w:val="clear" w:pos="720"/>
          <w:tab w:val="left" w:pos="-1080" w:leader="none"/>
          <w:tab w:val="left" w:pos="360" w:leader="none"/>
        </w:tabs>
        <w:spacing w:before="0" w:after="120"/>
        <w:ind w:hanging="720" w:start="720" w:end="0"/>
        <w:jc w:val="both"/>
        <w:rPr>
          <w:sz w:val="22"/>
        </w:rPr>
      </w:pPr>
      <w:r>
        <w:rPr>
          <w:sz w:val="22"/>
        </w:rPr>
        <w:tab/>
        <w:t>4)</w:t>
        <w:tab/>
        <w:t>The delivery to Buyer of legal opinions acceptable to Buyer from Sellers’ counsel;</w:t>
      </w:r>
    </w:p>
    <w:p>
      <w:pPr>
        <w:pStyle w:val="Normal"/>
        <w:numPr>
          <w:ilvl w:val="0"/>
          <w:numId w:val="4"/>
        </w:numPr>
        <w:tabs>
          <w:tab w:val="left" w:pos="360" w:leader="none"/>
          <w:tab w:val="left" w:pos="720" w:leader="none"/>
        </w:tabs>
        <w:spacing w:before="0" w:after="120"/>
        <w:jc w:val="both"/>
        <w:rPr>
          <w:sz w:val="22"/>
        </w:rPr>
      </w:pPr>
      <w:r>
        <w:rPr>
          <w:sz w:val="22"/>
        </w:rPr>
        <w:t>The delivery to Buyer of other information, documentation and material as Buyer may deem prudent for the Transaction;</w:t>
      </w:r>
    </w:p>
    <w:p>
      <w:pPr>
        <w:pStyle w:val="Normal"/>
        <w:numPr>
          <w:ilvl w:val="0"/>
          <w:numId w:val="4"/>
        </w:numPr>
        <w:tabs>
          <w:tab w:val="left" w:pos="360" w:leader="none"/>
          <w:tab w:val="left" w:pos="720" w:leader="none"/>
        </w:tabs>
        <w:spacing w:before="0" w:after="120"/>
        <w:jc w:val="both"/>
        <w:rPr>
          <w:sz w:val="22"/>
        </w:rPr>
      </w:pPr>
      <w:r>
        <w:rPr>
          <w:sz w:val="22"/>
        </w:rPr>
        <w:t>Each Seller shall have resigned from his positions, if any, as a member of the board of directors or other governing body of Mariner or its affiliates or as a member of any committee of any such board or other governing body; and</w:t>
      </w:r>
    </w:p>
    <w:p>
      <w:pPr>
        <w:pStyle w:val="Normal"/>
        <w:numPr>
          <w:ilvl w:val="0"/>
          <w:numId w:val="4"/>
        </w:numPr>
        <w:tabs>
          <w:tab w:val="left" w:pos="360" w:leader="none"/>
          <w:tab w:val="left" w:pos="720" w:leader="none"/>
        </w:tabs>
        <w:jc w:val="both"/>
        <w:rPr>
          <w:sz w:val="22"/>
        </w:rPr>
      </w:pPr>
      <w:r>
        <w:rPr>
          <w:sz w:val="22"/>
        </w:rPr>
        <w:t>The satisfaction by Sellers of other conditions usual for similar transactions.</w:t>
      </w:r>
    </w:p>
    <w:p>
      <w:pPr>
        <w:pStyle w:val="Normal"/>
        <w:tabs>
          <w:tab w:val="clear" w:pos="720"/>
          <w:tab w:val="left" w:pos="360" w:leader="none"/>
        </w:tabs>
        <w:ind w:start="360" w:end="0"/>
        <w:jc w:val="both"/>
        <w:rPr>
          <w:sz w:val="22"/>
        </w:rPr>
      </w:pPr>
      <w:r>
        <w:rPr>
          <w:sz w:val="22"/>
        </w:rPr>
      </w:r>
    </w:p>
    <w:p>
      <w:pPr>
        <w:pStyle w:val="Normal"/>
        <w:ind w:hanging="360" w:start="360" w:end="0"/>
        <w:jc w:val="both"/>
        <w:rPr/>
      </w:pPr>
      <w:r>
        <w:rPr>
          <w:b/>
          <w:sz w:val="22"/>
          <w:u w:val="single"/>
        </w:rPr>
        <w:t>Representations, Warranties, and Covenants</w:t>
      </w:r>
      <w:r>
        <w:rPr>
          <w:b/>
          <w:sz w:val="22"/>
        </w:rPr>
        <w:t>:</w:t>
      </w:r>
    </w:p>
    <w:p>
      <w:pPr>
        <w:pStyle w:val="Normal"/>
        <w:ind w:hanging="360" w:start="360" w:end="0"/>
        <w:jc w:val="both"/>
        <w:rPr>
          <w:b/>
          <w:sz w:val="22"/>
        </w:rPr>
      </w:pPr>
      <w:r>
        <w:rPr>
          <w:b/>
          <w:sz w:val="22"/>
        </w:rPr>
      </w:r>
    </w:p>
    <w:p>
      <w:pPr>
        <w:pStyle w:val="Normal"/>
        <w:spacing w:before="0" w:after="120"/>
        <w:ind w:hanging="360" w:start="360" w:end="0"/>
        <w:jc w:val="both"/>
        <w:rPr>
          <w:sz w:val="22"/>
        </w:rPr>
      </w:pPr>
      <w:r>
        <w:rPr>
          <w:sz w:val="22"/>
        </w:rPr>
        <w:tab/>
        <w:t>Each Seller shall make the following representations, warranties, and covenants:</w:t>
      </w:r>
    </w:p>
    <w:p>
      <w:pPr>
        <w:pStyle w:val="BodyText2"/>
        <w:rPr/>
      </w:pPr>
      <w:r>
        <w:rPr/>
        <w:tab/>
        <w:t>1)</w:t>
        <w:tab/>
        <w:t>Such Seller owns, beneficially and of record, good and marketable title to his Capital Stock, free and clear of security interests, liens, claims and encumbrances;</w:t>
      </w:r>
    </w:p>
    <w:p>
      <w:pPr>
        <w:pStyle w:val="Normal"/>
        <w:tabs>
          <w:tab w:val="clear" w:pos="720"/>
          <w:tab w:val="left" w:pos="360" w:leader="none"/>
        </w:tabs>
        <w:spacing w:before="0" w:after="120"/>
        <w:ind w:hanging="720" w:start="720" w:end="0"/>
        <w:jc w:val="both"/>
        <w:rPr>
          <w:sz w:val="22"/>
        </w:rPr>
      </w:pPr>
      <w:r>
        <w:rPr>
          <w:sz w:val="22"/>
        </w:rPr>
        <w:tab/>
        <w:t>2)</w:t>
        <w:tab/>
        <w:t>All of the information, reports and other data furnished by such Seller to Buyer is accurate and complete in all material respects and none of such information supplied contains an untrue statement of a material fact or omits to state any material fact which is necessary in order to make the statements therein, in light of the circumstances under which they were made, not misleading;</w:t>
      </w:r>
    </w:p>
    <w:p>
      <w:pPr>
        <w:pStyle w:val="Normal"/>
        <w:numPr>
          <w:ilvl w:val="0"/>
          <w:numId w:val="3"/>
        </w:numPr>
        <w:tabs>
          <w:tab w:val="left" w:pos="360" w:leader="none"/>
          <w:tab w:val="left" w:pos="720" w:leader="none"/>
        </w:tabs>
        <w:spacing w:before="0" w:after="120"/>
        <w:jc w:val="both"/>
        <w:rPr>
          <w:sz w:val="22"/>
        </w:rPr>
      </w:pPr>
      <w:r>
        <w:rPr>
          <w:sz w:val="22"/>
        </w:rPr>
        <w:t>There are no suits, investigations or proceedings pending or threatened against such Seller or affecting title to or possession of the Capital Stock;</w:t>
      </w:r>
    </w:p>
    <w:p>
      <w:pPr>
        <w:pStyle w:val="Normal"/>
        <w:numPr>
          <w:ilvl w:val="0"/>
          <w:numId w:val="3"/>
        </w:numPr>
        <w:tabs>
          <w:tab w:val="left" w:pos="360" w:leader="none"/>
          <w:tab w:val="left" w:pos="720" w:leader="none"/>
        </w:tabs>
        <w:spacing w:before="0" w:after="120"/>
        <w:jc w:val="both"/>
        <w:rPr>
          <w:sz w:val="22"/>
        </w:rPr>
      </w:pPr>
      <w:r>
        <w:rPr>
          <w:sz w:val="22"/>
        </w:rPr>
        <w:t>Such Seller does not own, legally or beneficially, directly or indirectly, any debt of Mariner or the Company;</w:t>
      </w:r>
    </w:p>
    <w:p>
      <w:pPr>
        <w:pStyle w:val="Normal"/>
        <w:numPr>
          <w:ilvl w:val="0"/>
          <w:numId w:val="3"/>
        </w:numPr>
        <w:tabs>
          <w:tab w:val="left" w:pos="360" w:leader="none"/>
          <w:tab w:val="left" w:pos="720" w:leader="none"/>
        </w:tabs>
        <w:spacing w:before="0" w:after="120"/>
        <w:jc w:val="both"/>
        <w:rPr>
          <w:sz w:val="22"/>
        </w:rPr>
      </w:pPr>
      <w:r>
        <w:rPr>
          <w:sz w:val="22"/>
        </w:rPr>
        <w:t xml:space="preserve">So long as JEDI or any affiliate of Enron Corp. owns any capital stock of the Company, such Seller shall not acquire, directly or indirectly, any Capital Stock or any other securities or other debt instruments of Mariner or the Company; and </w:t>
      </w:r>
    </w:p>
    <w:p>
      <w:pPr>
        <w:pStyle w:val="Normal"/>
        <w:tabs>
          <w:tab w:val="clear" w:pos="720"/>
          <w:tab w:val="left" w:pos="360" w:leader="none"/>
        </w:tabs>
        <w:ind w:hanging="720" w:start="720" w:end="0"/>
        <w:jc w:val="both"/>
        <w:rPr>
          <w:sz w:val="22"/>
        </w:rPr>
      </w:pPr>
      <w:r>
        <w:rPr>
          <w:sz w:val="22"/>
        </w:rPr>
        <w:tab/>
        <w:t>6)</w:t>
        <w:tab/>
        <w:t>Other usual representations, warranties, and covenants as may be required by Buyer.</w:t>
      </w:r>
    </w:p>
    <w:p>
      <w:pPr>
        <w:pStyle w:val="Normal"/>
        <w:ind w:hanging="360" w:start="360" w:end="0"/>
        <w:jc w:val="both"/>
        <w:rPr>
          <w:sz w:val="22"/>
        </w:rPr>
      </w:pPr>
      <w:r>
        <w:rPr>
          <w:sz w:val="22"/>
        </w:rPr>
      </w:r>
    </w:p>
    <w:p>
      <w:pPr>
        <w:pStyle w:val="Normal"/>
        <w:keepNext w:val="true"/>
        <w:ind w:hanging="360" w:start="360" w:end="0"/>
        <w:jc w:val="both"/>
        <w:rPr/>
      </w:pPr>
      <w:r>
        <w:rPr>
          <w:b/>
          <w:sz w:val="22"/>
          <w:u w:val="single"/>
        </w:rPr>
        <w:t>Closing Date</w:t>
      </w:r>
      <w:r>
        <w:rPr>
          <w:b/>
          <w:sz w:val="22"/>
        </w:rPr>
        <w:t>:</w:t>
      </w:r>
    </w:p>
    <w:p>
      <w:pPr>
        <w:pStyle w:val="Normal"/>
        <w:keepNext w:val="true"/>
        <w:ind w:hanging="360" w:start="360" w:end="0"/>
        <w:jc w:val="both"/>
        <w:rPr>
          <w:b/>
          <w:sz w:val="22"/>
        </w:rPr>
      </w:pPr>
      <w:r>
        <w:rPr>
          <w:b/>
          <w:sz w:val="22"/>
        </w:rPr>
      </w:r>
    </w:p>
    <w:p>
      <w:pPr>
        <w:pStyle w:val="Normal"/>
        <w:ind w:hanging="360" w:start="360" w:end="0"/>
        <w:jc w:val="both"/>
        <w:rPr/>
      </w:pPr>
      <w:r>
        <w:rPr>
          <w:b/>
          <w:sz w:val="22"/>
        </w:rPr>
        <w:tab/>
      </w:r>
      <w:r>
        <w:rPr>
          <w:sz w:val="22"/>
        </w:rPr>
        <w:t>As set out in the attached letter.</w:t>
      </w:r>
    </w:p>
    <w:p>
      <w:pPr>
        <w:pStyle w:val="Normal"/>
        <w:ind w:hanging="360" w:start="360" w:end="0"/>
        <w:jc w:val="both"/>
        <w:rPr>
          <w:sz w:val="22"/>
        </w:rPr>
      </w:pPr>
      <w:r>
        <w:rPr>
          <w:sz w:val="22"/>
        </w:rPr>
      </w:r>
    </w:p>
    <w:p>
      <w:pPr>
        <w:pStyle w:val="Normal"/>
        <w:ind w:hanging="360" w:start="360" w:end="0"/>
        <w:jc w:val="both"/>
        <w:rPr/>
      </w:pPr>
      <w:r>
        <w:rPr>
          <w:b/>
          <w:sz w:val="22"/>
          <w:u w:val="single"/>
        </w:rPr>
        <w:t>Expenses</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As set out in the attached letter.</w:t>
      </w:r>
    </w:p>
    <w:p>
      <w:pPr>
        <w:pStyle w:val="Normal"/>
        <w:ind w:hanging="360" w:start="360" w:end="0"/>
        <w:jc w:val="both"/>
        <w:rPr>
          <w:sz w:val="22"/>
        </w:rPr>
      </w:pPr>
      <w:r>
        <w:rPr>
          <w:sz w:val="22"/>
        </w:rPr>
      </w:r>
    </w:p>
    <w:p>
      <w:pPr>
        <w:pStyle w:val="Normal"/>
        <w:keepNext w:val="true"/>
        <w:keepLines/>
        <w:ind w:hanging="360" w:start="360" w:end="0"/>
        <w:jc w:val="both"/>
        <w:rPr/>
      </w:pPr>
      <w:r>
        <w:rPr>
          <w:b/>
          <w:sz w:val="22"/>
          <w:u w:val="single"/>
        </w:rPr>
        <w:t>Choice of Law</w:t>
      </w:r>
      <w:r>
        <w:rPr>
          <w:b/>
          <w:sz w:val="22"/>
        </w:rPr>
        <w:t>:</w:t>
      </w:r>
    </w:p>
    <w:p>
      <w:pPr>
        <w:pStyle w:val="Normal"/>
        <w:keepNext w:val="true"/>
        <w:keepLines/>
        <w:ind w:hanging="360" w:start="360" w:end="0"/>
        <w:jc w:val="both"/>
        <w:rPr>
          <w:b/>
          <w:sz w:val="22"/>
        </w:rPr>
      </w:pPr>
      <w:r>
        <w:rPr>
          <w:b/>
          <w:sz w:val="22"/>
        </w:rPr>
      </w:r>
    </w:p>
    <w:p>
      <w:pPr>
        <w:pStyle w:val="Normal"/>
        <w:keepNext w:val="true"/>
        <w:keepLines/>
        <w:ind w:hanging="360" w:start="360" w:end="0"/>
        <w:jc w:val="both"/>
        <w:rPr/>
      </w:pPr>
      <w:r>
        <w:rPr>
          <w:b/>
          <w:sz w:val="22"/>
        </w:rPr>
        <w:tab/>
      </w:r>
      <w:r>
        <w:rPr>
          <w:b/>
          <w:caps/>
          <w:sz w:val="22"/>
        </w:rPr>
        <w:t>The agreements shall be governed by the laws of the State of TEXAS EXCEPT TO THE EXTENT THE LAWS OF ANOTHER JURISDICTION ARE MANDATORILY APPLICABLE.</w:t>
      </w:r>
      <w:r>
        <w:rPr>
          <w:b/>
          <w:sz w:val="22"/>
        </w:rPr>
        <w:t xml:space="preserve"> </w:t>
      </w:r>
    </w:p>
    <w:p>
      <w:pPr>
        <w:pStyle w:val="Normal"/>
        <w:ind w:hanging="360" w:start="360" w:end="0"/>
        <w:jc w:val="both"/>
        <w:rPr>
          <w:b/>
          <w:sz w:val="22"/>
        </w:rPr>
      </w:pPr>
      <w:r>
        <w:rPr>
          <w:b/>
          <w:sz w:val="22"/>
        </w:rPr>
      </w:r>
    </w:p>
    <w:p>
      <w:pPr>
        <w:pStyle w:val="BodyText3"/>
        <w:rPr/>
      </w:pPr>
      <w:r>
        <w:rPr/>
        <w:t>THIS SUMMARY OF TERMS AND CONDITIONS IS ATTACHMENT "A" TO THE LETTER DATED OCTOBER 16, 2001, FROM MARINER ENERGY LLC TO MR. ROBERT E. HENDERSON, MR. MICHAEL W. STRICKLER, MR. L. V. MCGUIRE, AND MR. WILLIAM HUNT HODGE AND IS NOT TO BE CONSIDERED SEPARATELY FROM SUCH LETTER.  EXCEPT AS SET OUT IN THE LETTER, THE LETTER AND THIS ATTACHMENT "A" ARE NOT INTENDED TO BE COMPLETE AND ALL-INCLUSIVE OF THE TERMS OF THE PROPOSED TRANSACTION, NOR DOES THE LETTER OR THIS ATTACHMENT "A" CREATE A BINDING AND ENFORCEABLE CONTRACT BETWEEN OR COMMITMENT OR OFFER TO ANY PARTY OR PARTIES.</w:t>
      </w:r>
    </w:p>
    <w:p>
      <w:pPr>
        <w:pStyle w:val="Normal"/>
        <w:ind w:hanging="360" w:start="360" w:end="0"/>
        <w:jc w:val="both"/>
        <w:rPr>
          <w:b/>
          <w:sz w:val="22"/>
        </w:rPr>
      </w:pPr>
      <w:r>
        <w:rPr>
          <w:b/>
          <w:sz w:val="22"/>
        </w:rPr>
      </w:r>
    </w:p>
    <w:p>
      <w:pPr>
        <w:pStyle w:val="Normal"/>
        <w:rPr>
          <w:b/>
          <w:sz w:val="22"/>
        </w:rPr>
      </w:pPr>
      <w:r>
        <w:rPr>
          <w:b/>
          <w:sz w:val="22"/>
        </w:rPr>
      </w:r>
    </w:p>
    <w:sectPr>
      <w:headerReference w:type="default" r:id="rId6"/>
      <w:headerReference w:type="first" r:id="rId7"/>
      <w:footerReference w:type="default" r:id="rId8"/>
      <w:footerReference w:type="first" r:id="rId9"/>
      <w:type w:val="nextPage"/>
      <w:pgSz w:w="12240" w:h="15840"/>
      <w:pgMar w:left="1440" w:right="144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Mr. Robert E. Henderson</w:t>
    </w:r>
  </w:p>
  <w:p>
    <w:pPr>
      <w:pStyle w:val="Header"/>
      <w:rPr>
        <w:sz w:val="22"/>
      </w:rPr>
    </w:pPr>
    <w:r>
      <w:rPr>
        <w:sz w:val="22"/>
      </w:rPr>
      <w:t>Mr. Michael W. Strickler</w:t>
    </w:r>
  </w:p>
  <w:p>
    <w:pPr>
      <w:pStyle w:val="Header"/>
      <w:rPr>
        <w:sz w:val="22"/>
      </w:rPr>
    </w:pPr>
    <w:r>
      <w:rPr>
        <w:sz w:val="22"/>
      </w:rPr>
      <w:t>Mr. L. V. McGuire</w:t>
    </w:r>
  </w:p>
  <w:p>
    <w:pPr>
      <w:pStyle w:val="Header"/>
      <w:rPr>
        <w:sz w:val="22"/>
      </w:rPr>
    </w:pPr>
    <w:r>
      <w:rPr>
        <w:sz w:val="22"/>
      </w:rPr>
      <w:t>Mr. William Hunt Hodge</w:t>
    </w:r>
  </w:p>
  <w:p>
    <w:pPr>
      <w:pStyle w:val="Header"/>
      <w:rPr>
        <w:sz w:val="22"/>
      </w:rPr>
    </w:pPr>
    <w:r>
      <w:rPr>
        <w:sz w:val="22"/>
      </w:rPr>
      <w:t>October 16,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720" w:hanging="360"/>
      </w:pPr>
    </w:lvl>
  </w:abstractNum>
  <w:abstractNum w:abstractNumId="3">
    <w:lvl w:ilvl="0">
      <w:start w:val="3"/>
      <w:numFmt w:val="decimal"/>
      <w:lvlText w:val="%1)"/>
      <w:lvlJc w:val="start"/>
      <w:pPr>
        <w:tabs>
          <w:tab w:val="num" w:pos="360"/>
        </w:tabs>
        <w:ind w:start="720" w:hanging="360"/>
      </w:pPr>
    </w:lvl>
  </w:abstractNum>
  <w:abstractNum w:abstractNumId="4">
    <w:lvl w:ilvl="0">
      <w:start w:val="5"/>
      <w:numFmt w:val="decimal"/>
      <w:lvlText w:val="%1)"/>
      <w:lvlJc w:val="start"/>
      <w:pPr>
        <w:tabs>
          <w:tab w:val="num" w:pos="36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jc w:val="both"/>
      <w:textAlignment w:val="baseline"/>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szCs w:val="20"/>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szCs w:val="20"/>
    </w:rPr>
  </w:style>
  <w:style w:type="paragraph" w:styleId="BodyTextIndent2">
    <w:name w:val="Body Text Indent 2"/>
    <w:basedOn w:val="Normal"/>
    <w:qFormat/>
    <w:pPr>
      <w:overflowPunct w:val="false"/>
      <w:autoSpaceDE w:val="false"/>
      <w:ind w:hanging="360" w:start="360" w:end="0"/>
      <w:jc w:val="both"/>
      <w:textAlignment w:val="baseline"/>
    </w:pPr>
    <w:rPr>
      <w:sz w:val="22"/>
      <w:szCs w:val="20"/>
    </w:rPr>
  </w:style>
  <w:style w:type="paragraph" w:styleId="BodyText3">
    <w:name w:val="Body Text 3"/>
    <w:basedOn w:val="Normal"/>
    <w:qFormat/>
    <w:pPr>
      <w:overflowPunct w:val="false"/>
      <w:autoSpaceDE w:val="false"/>
      <w:jc w:val="both"/>
      <w:textAlignment w:val="baseline"/>
    </w:pPr>
    <w:rPr>
      <w:b/>
      <w:sz w:val="22"/>
      <w:szCs w:val="20"/>
    </w:rPr>
  </w:style>
  <w:style w:type="paragraph" w:styleId="BodyText2">
    <w:name w:val="Body Text 2"/>
    <w:basedOn w:val="Normal"/>
    <w:qFormat/>
    <w:pPr>
      <w:tabs>
        <w:tab w:val="clear" w:pos="720"/>
        <w:tab w:val="left" w:pos="360" w:leader="none"/>
      </w:tabs>
      <w:overflowPunct w:val="false"/>
      <w:autoSpaceDE w:val="false"/>
      <w:spacing w:before="0" w:after="120"/>
      <w:ind w:hanging="720" w:start="720" w:end="0"/>
      <w:jc w:val="both"/>
      <w:textAlignment w:val="baseline"/>
    </w:pPr>
    <w:rPr>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2001-10-16T11:57:00Z</dcterms:created>
  <dc:creator>mkeesler</dc:creator>
  <dc:description/>
  <dc:language>en-CA</dc:language>
  <cp:lastModifiedBy>mkeesler</cp:lastModifiedBy>
  <cp:lastPrinted>2001-10-16T11:16:00Z</cp:lastPrinted>
  <dcterms:modified xsi:type="dcterms:W3CDTF">2001-10-16T16:19:00Z</dcterms:modified>
  <cp:revision>7</cp:revision>
  <dc:subject/>
  <dc:title>September 12, 2001</dc:title>
</cp:coreProperties>
</file>