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Caption"/>
        <w:rPr/>
      </w:pPr>
      <w:r>
        <w:rPr/>
        <w:t>DRAFT – For Discussion Purposes</w:t>
      </w:r>
    </w:p>
    <w:p>
      <w:pPr>
        <w:pStyle w:val="Normal"/>
        <w:widowControl/>
        <w:jc w:val="center"/>
        <w:rPr>
          <w:rFonts w:ascii="Arial Narrow" w:hAnsi="Arial Narrow" w:cs="Arial Narrow"/>
          <w:sz w:val="20"/>
        </w:rPr>
      </w:pPr>
      <w:r>
        <w:rPr>
          <w:rFonts w:cs="Arial Narrow" w:ascii="Arial Narrow" w:hAnsi="Arial Narrow"/>
          <w:sz w:val="20"/>
        </w:rPr>
        <w:t>September 17,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Mariner Energy, Inc.</w:t>
      </w:r>
    </w:p>
    <w:p>
      <w:pPr>
        <w:pStyle w:val="Normal"/>
        <w:widowControl/>
        <w:rPr>
          <w:rFonts w:ascii="Arial Narrow" w:hAnsi="Arial Narrow" w:cs="Arial Narrow"/>
          <w:sz w:val="20"/>
        </w:rPr>
      </w:pPr>
      <w:r>
        <w:rPr>
          <w:rFonts w:cs="Arial Narrow" w:ascii="Arial Narrow" w:hAnsi="Arial Narrow"/>
          <w:sz w:val="20"/>
        </w:rPr>
        <w:t>580 Westlake Park Blvd. Ste. 1300</w:t>
      </w:r>
    </w:p>
    <w:p>
      <w:pPr>
        <w:pStyle w:val="Normal"/>
        <w:widowControl/>
        <w:rPr>
          <w:rFonts w:ascii="Arial Narrow" w:hAnsi="Arial Narrow" w:cs="Arial Narrow"/>
          <w:sz w:val="20"/>
        </w:rPr>
      </w:pPr>
      <w:r>
        <w:rPr>
          <w:rFonts w:cs="Arial Narrow" w:ascii="Arial Narrow" w:hAnsi="Arial Narrow"/>
          <w:sz w:val="20"/>
        </w:rPr>
        <w:t>Houston, TX77079</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bCs/>
          <w:sz w:val="20"/>
        </w:rPr>
        <w:t>Mariner Energy, Inc</w:t>
      </w:r>
      <w:r>
        <w:rPr>
          <w:rFonts w:cs="Arial Narrow" w:ascii="Arial Narrow" w:hAnsi="Arial Narrow"/>
          <w:sz w:val="20"/>
        </w:rPr>
        <w:t>.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SELLER’S INTERESTS: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Subject Well(s), together with any pool, communitized area or unit applicable to such wells, and any and all hereafter acquired interests in production from such wells and any and all renewals and extensions or amendments of any of the same, limited to the MaxDQ of _________ 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u w:val="single"/>
        </w:rPr>
      </w:pPr>
      <w:r>
        <w:rPr>
          <w:rFonts w:cs="Arial Narrow" w:ascii="Arial Narrow" w:hAnsi="Arial Narrow"/>
          <w:b/>
          <w:sz w:val="20"/>
        </w:rPr>
        <w:t xml:space="preserve">FIELD NAME/COUNTY/STATE: </w:t>
      </w:r>
    </w:p>
    <w:p>
      <w:pPr>
        <w:pStyle w:val="Normal"/>
        <w:widowControl/>
        <w:jc w:val="both"/>
        <w:rPr>
          <w:rFonts w:ascii="Arial Narrow" w:hAnsi="Arial Narrow" w:cs="Arial Narrow"/>
          <w:b/>
          <w:bCs/>
          <w:sz w:val="20"/>
          <w:u w:val="single"/>
        </w:rPr>
      </w:pPr>
      <w:r>
        <w:rPr>
          <w:rFonts w:cs="Arial Narrow" w:ascii="Arial Narrow" w:hAnsi="Arial Narrow"/>
          <w:b/>
          <w:bCs/>
          <w:sz w:val="20"/>
          <w:u w:val="single"/>
        </w:rPr>
      </w:r>
    </w:p>
    <w:p>
      <w:pPr>
        <w:pStyle w:val="Normal"/>
        <w:widowControl/>
        <w:jc w:val="both"/>
        <w:rPr>
          <w:rFonts w:ascii="Arial Narrow" w:hAnsi="Arial Narrow" w:cs="Arial Narrow"/>
          <w:sz w:val="20"/>
        </w:rPr>
      </w:pPr>
      <w:r>
        <w:rPr>
          <w:rFonts w:cs="Arial Narrow" w:ascii="Arial Narrow" w:hAnsi="Arial Narrow"/>
          <w:b/>
          <w:sz w:val="20"/>
          <w:u w:val="single"/>
        </w:rPr>
        <w:t>SUBJECT WELL(S)                                                                 METER NO./PIPELINE</w:t>
        <w:tab/>
        <w:tab/>
        <w:tab/>
        <w:tab/>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w:t>
      </w:r>
      <w:r>
        <w:rPr>
          <w:rFonts w:cs="Arial Narrow" w:ascii="Arial Narrow" w:hAnsi="Arial Narrow"/>
          <w:bCs/>
          <w:sz w:val="20"/>
        </w:rPr>
        <w:t xml:space="preserve">Meter # </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color w:val="0000FF"/>
          <w:sz w:val="20"/>
        </w:rPr>
      </w:pPr>
      <w:r>
        <w:rPr>
          <w:rFonts w:cs="Arial Narrow" w:ascii="Arial Narrow" w:hAnsi="Arial Narrow"/>
          <w:b/>
          <w:sz w:val="20"/>
        </w:rPr>
        <w:t xml:space="preserve">PERIOD OF DELIVERY:  </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Cs/>
          <w:sz w:val="20"/>
        </w:rPr>
        <w:t>for 100% of the quantity of gas delivered hereunder</w:t>
      </w:r>
      <w:r>
        <w:rPr>
          <w:rFonts w:cs="Arial Narrow" w:ascii="Arial Narrow" w:hAnsi="Arial Narrow"/>
          <w:b/>
          <w:sz w:val="20"/>
        </w:rPr>
        <w:t xml:space="preserve"> </w:t>
      </w:r>
      <w:r>
        <w:rPr>
          <w:rFonts w:cs="Arial Narrow" w:ascii="Arial Narrow" w:hAnsi="Arial Narrow"/>
          <w:sz w:val="20"/>
        </w:rPr>
        <w:t xml:space="preserve">each month, equal to the _______________________________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BodyText"/>
        <w:jc w:val="both"/>
        <w:rPr>
          <w:b/>
          <w:bCs/>
        </w:rPr>
      </w:pPr>
      <w:r>
        <w:rPr>
          <w:rFonts w:cs="Times New Roman" w:ascii="Arial Narrow" w:hAnsi="Arial Narrow"/>
          <w:b/>
          <w:szCs w:val="20"/>
        </w:rPr>
        <w:t>KEEP WHOLE:</w:t>
      </w:r>
    </w:p>
    <w:p>
      <w:pPr>
        <w:pStyle w:val="BodyText"/>
        <w:jc w:val="both"/>
        <w:rPr>
          <w:rFonts w:ascii="Arial Narrow" w:hAnsi="Arial Narrow" w:cs="Times New Roman"/>
          <w:szCs w:val="20"/>
        </w:rPr>
      </w:pPr>
      <w:r>
        <w:rPr>
          <w:rFonts w:cs="Times New Roman" w:ascii="Arial Narrow" w:hAnsi="Arial Narrow"/>
          <w:szCs w:val="20"/>
        </w:rPr>
        <w:t>If on any day the quantity of gas scheduled hereunder is less than, at a minimum, a quantity of gas equal to the BaseLoad Quantity, minus a tolerance of ten percent (10%), the “BaseLoad Deficiency Quantity” shall be the numerical difference between the BaseLoad Quantity less ten percent (10%) and the amount of gas scheduled, and the Parties shall pay the following:</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"Daily Midpoint" price set forth in Gas Daily®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Gas Daily® (Financial Times Energy), or successor publication, in the column "Daily Price Survey" under the listing applicable to the geographic location agreed pursuant to the Transaction for the relevant day and (b) the Contract Price for the BaseLoad Quantity.</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2"/>
        </w:numPr>
        <w:jc w:val="both"/>
        <w:rPr>
          <w:rFonts w:ascii="Arial Narrow" w:hAnsi="Arial Narrow" w:cs="Arial Narrow"/>
          <w:sz w:val="20"/>
        </w:rPr>
      </w:pPr>
      <w:r>
        <w:rPr>
          <w:rFonts w:cs="Arial Narrow" w:ascii="Arial Narrow" w:hAnsi="Arial Narrow"/>
          <w:sz w:val="20"/>
        </w:rPr>
        <w:t>If the "Daily Midpoint" price set forth in Gas Daily®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Gas Daily® (Financial Times Energy), or successor publication, in the column "Daily Price Survey" under the listing applicable to the geographic location agreed pursuant to the Transaction for the relevant day; provided that Buyer shall have no obligation to pay Seller any amounts under this Section (ii), if Seller fails to provide Buyer notice in accordance with Notice of Variance requirements set forth below.</w:t>
      </w:r>
    </w:p>
    <w:p>
      <w:pPr>
        <w:pStyle w:val="Normal"/>
        <w:jc w:val="both"/>
        <w:rPr>
          <w:rFonts w:ascii="Arial Narrow" w:hAnsi="Arial Narrow" w:cs="Arial Narrow"/>
          <w:sz w:val="20"/>
        </w:rPr>
      </w:pPr>
      <w:r>
        <w:rPr>
          <w:rFonts w:cs="Arial Narrow" w:ascii="Arial Narrow" w:hAnsi="Arial Narrow"/>
          <w:sz w:val="20"/>
        </w:rPr>
      </w:r>
    </w:p>
    <w:p>
      <w:pPr>
        <w:pStyle w:val="BodyText"/>
        <w:jc w:val="both"/>
        <w:rPr>
          <w:rFonts w:ascii="Arial Narrow" w:hAnsi="Arial Narrow" w:cs="Times New Roman"/>
          <w:szCs w:val="20"/>
        </w:rPr>
      </w:pPr>
      <w:r>
        <w:rPr>
          <w:rFonts w:cs="Times New Roman" w:ascii="Arial Narrow" w:hAnsi="Arial Narrow"/>
          <w:szCs w:val="20"/>
        </w:rPr>
        <w:t>If on any day the quantity of gas scheduled hereunder for any reason is greater than the BaseLoad Quantity, plus a tolerance of ten percent (10%), the “BaseLoad Excess Quantity” shall be the numerical difference between the BaseLoad Quantity plus the ten percent (10%) tolerance and the amount of gas scheduled, and Buyer shall pay to Seller an amount equal to the Seller’s BaseLoad Excess Quantity multiplied by the "Daily Midpoint" price set forth in Gas Daily® (Financial Times Energy), or successor publication, in the column "Daily Price Survey" under the listing applicable to the geographic location agreed pursuant to the Transaction.</w:t>
      </w:r>
    </w:p>
    <w:p>
      <w:pPr>
        <w:pStyle w:val="Normal"/>
        <w:jc w:val="both"/>
        <w:rPr>
          <w:rFonts w:ascii="Arial Narrow" w:hAnsi="Arial Narrow" w:cs="Arial Narrow"/>
          <w:sz w:val="20"/>
          <w:szCs w:val="20"/>
        </w:rPr>
      </w:pPr>
      <w:r>
        <w:rPr>
          <w:rFonts w:cs="Arial Narrow" w:ascii="Arial Narrow" w:hAnsi="Arial Narrow"/>
          <w:sz w:val="20"/>
          <w:szCs w:val="20"/>
        </w:rPr>
      </w:r>
    </w:p>
    <w:p>
      <w:pPr>
        <w:pStyle w:val="Normal"/>
        <w:jc w:val="both"/>
        <w:rPr>
          <w:rFonts w:ascii="Arial Narrow" w:hAnsi="Arial Narrow" w:cs="Arial Narrow"/>
          <w:sz w:val="20"/>
        </w:rPr>
      </w:pPr>
      <w:r>
        <w:rPr>
          <w:rFonts w:cs="Arial Narrow" w:ascii="Arial Narrow" w:hAnsi="Arial Narrow"/>
          <w:sz w:val="20"/>
        </w:rPr>
        <w:t>For the purposes of this Section, “BaseLoad Quantity” shall mean a quantity of gas equal to _________ MMBtu.</w:t>
      </w:r>
    </w:p>
    <w:p>
      <w:pPr>
        <w:pStyle w:val="Normal"/>
        <w:jc w:val="both"/>
        <w:rPr>
          <w:rFonts w:ascii="Arial Narrow" w:hAnsi="Arial Narrow" w:cs="Arial Narrow"/>
          <w:sz w:val="20"/>
        </w:rPr>
      </w:pPr>
      <w:r>
        <w:rPr>
          <w:rFonts w:cs="Arial Narrow" w:ascii="Arial Narrow" w:hAnsi="Arial Narrow"/>
          <w:sz w:val="20"/>
        </w:rPr>
      </w:r>
    </w:p>
    <w:p>
      <w:pPr>
        <w:pStyle w:val="BodyText2"/>
        <w:widowControl/>
        <w:tabs>
          <w:tab w:val="clear" w:pos="2412"/>
        </w:tabs>
        <w:overflowPunct w:val="true"/>
        <w:autoSpaceDE w:val="true"/>
        <w:ind w:start="0" w:end="0"/>
        <w:jc w:val="both"/>
        <w:textAlignment w:val="auto"/>
        <w:rPr>
          <w:rFonts w:ascii="Arial Narrow" w:hAnsi="Arial Narrow" w:cs="Arial Narrow"/>
          <w:b w:val="false"/>
          <w:sz w:val="20"/>
        </w:rPr>
      </w:pPr>
      <w:r>
        <w:rPr>
          <w:rFonts w:cs="Arial Narrow" w:ascii="Arial Narrow" w:hAnsi="Arial Narrow"/>
          <w:b w:val="false"/>
          <w:sz w:val="20"/>
        </w:rPr>
        <w:t>Seller shall be responsible for any imbalance penalties, costs, or fees incurred by Buyer as the result of Seller’s failure to schedule the BaseLoad Quantity plus or minus ten percent (10%) and Buyer may deduct all such penalties, costs, or fees from proceeds due Seller.</w:t>
      </w:r>
    </w:p>
    <w:p>
      <w:pPr>
        <w:pStyle w:val="Normal"/>
        <w:jc w:val="both"/>
        <w:rPr>
          <w:rFonts w:ascii="Arial" w:hAnsi="Arial" w:cs="Arial"/>
          <w:b/>
          <w:sz w:val="20"/>
        </w:rPr>
      </w:pPr>
      <w:r>
        <w:rPr>
          <w:rFonts w:cs="Arial" w:ascii="Arial" w:hAnsi="Arial"/>
          <w:b/>
          <w:sz w:val="20"/>
        </w:rPr>
      </w:r>
    </w:p>
    <w:p>
      <w:pPr>
        <w:pStyle w:val="BodyText"/>
        <w:jc w:val="both"/>
        <w:rPr>
          <w:b/>
          <w:bCs/>
        </w:rPr>
      </w:pPr>
      <w:r>
        <w:rPr>
          <w:rFonts w:cs="Times New Roman" w:ascii="Arial Narrow" w:hAnsi="Arial Narrow"/>
          <w:b/>
          <w:szCs w:val="20"/>
        </w:rPr>
        <w:t>NOTICE OF VARIANCE:</w:t>
      </w:r>
    </w:p>
    <w:p>
      <w:pPr>
        <w:pStyle w:val="Normal"/>
        <w:jc w:val="both"/>
        <w:rPr>
          <w:rFonts w:ascii="Arial" w:hAnsi="Arial" w:cs="Arial"/>
          <w:b/>
          <w:bCs/>
          <w:sz w:val="20"/>
        </w:rPr>
      </w:pPr>
      <w:r>
        <w:rPr>
          <w:rFonts w:cs="Arial" w:ascii="Arial" w:hAnsi="Arial"/>
          <w:b/>
          <w:bCs/>
          <w:sz w:val="20"/>
        </w:rPr>
      </w:r>
    </w:p>
    <w:p>
      <w:pPr>
        <w:pStyle w:val="Normal"/>
        <w:jc w:val="both"/>
        <w:rPr>
          <w:rFonts w:ascii="Arial" w:hAnsi="Arial" w:cs="Arial"/>
          <w:b/>
          <w:sz w:val="20"/>
          <w:szCs w:val="24"/>
        </w:rPr>
      </w:pPr>
      <w:r>
        <w:rPr>
          <w:rFonts w:cs="Arial Narrow" w:ascii="Arial Narrow" w:hAnsi="Arial Narrow"/>
          <w:sz w:val="20"/>
        </w:rPr>
        <w:t>Seller shall provide to Buyer, via facsimile and phone, notice of any variance greater than plus or minus ten percent (10%) of the BaseLoad Quantity not later than 9:00 a.m. C.T. of the business day prior to day of gas flow.</w:t>
      </w:r>
    </w:p>
    <w:p>
      <w:pPr>
        <w:pStyle w:val="Normal"/>
        <w:widowControl/>
        <w:tabs>
          <w:tab w:val="clear" w:pos="720"/>
          <w:tab w:val="left" w:pos="5850" w:leader="none"/>
        </w:tabs>
        <w:jc w:val="both"/>
        <w:rPr>
          <w:rFonts w:ascii="Arial Narrow" w:hAnsi="Arial Narrow" w:cs="Arial Narrow"/>
          <w:b/>
          <w:sz w:val="20"/>
          <w:szCs w:val="24"/>
        </w:rPr>
      </w:pPr>
      <w:r>
        <w:rPr>
          <w:rFonts w:cs="Arial Narrow" w:ascii="Arial Narrow" w:hAnsi="Arial Narrow"/>
          <w:b/>
          <w:sz w:val="20"/>
          <w:szCs w:val="24"/>
        </w:rPr>
      </w:r>
    </w:p>
    <w:p>
      <w:pPr>
        <w:pStyle w:val="BodyText"/>
        <w:jc w:val="both"/>
        <w:rPr>
          <w:b/>
          <w:bCs/>
        </w:rPr>
      </w:pPr>
      <w:r>
        <w:rPr>
          <w:rFonts w:cs="Times New Roman" w:ascii="Arial Narrow" w:hAnsi="Arial Narrow"/>
          <w:b/>
          <w:szCs w:val="20"/>
        </w:rPr>
        <w:t>RELEASE OF GAS:</w:t>
      </w:r>
    </w:p>
    <w:p>
      <w:pPr>
        <w:pStyle w:val="Normal"/>
        <w:jc w:val="both"/>
        <w:rPr>
          <w:rFonts w:ascii="Arial" w:hAnsi="Arial" w:cs="Arial"/>
          <w:b/>
          <w:bCs/>
          <w:sz w:val="20"/>
        </w:rPr>
      </w:pPr>
      <w:r>
        <w:rPr>
          <w:rFonts w:cs="Arial" w:ascii="Arial" w:hAnsi="Arial"/>
          <w:b/>
          <w:bCs/>
          <w:sz w:val="20"/>
        </w:rPr>
      </w:r>
    </w:p>
    <w:p>
      <w:pPr>
        <w:pStyle w:val="Normal"/>
        <w:jc w:val="both"/>
        <w:rPr>
          <w:rFonts w:ascii="Arial" w:hAnsi="Arial" w:cs="Arial"/>
          <w:b/>
          <w:sz w:val="20"/>
          <w:szCs w:val="24"/>
        </w:rPr>
      </w:pPr>
      <w:r>
        <w:rPr>
          <w:rFonts w:cs="Arial Narrow" w:ascii="Arial Narrow" w:hAnsi="Arial Narrow"/>
          <w:sz w:val="20"/>
        </w:rPr>
        <w:t xml:space="preserve">If Buyer is unable to take receipt of all of that portion of the Seller’s Daily Deliverability scheduled at a [Subject Well/Delivery Point] due to interruption of Buyer’s transport for three (3) consecutive Days during the Period of Delivery, then Seller may release such portion of the Seller’s Daily Deliverability from the terms of this Confirmation by providing Buyer three (3) Days prior written notice thereof.  </w:t>
      </w:r>
    </w:p>
    <w:p>
      <w:pPr>
        <w:pStyle w:val="Normal"/>
        <w:widowControl/>
        <w:tabs>
          <w:tab w:val="clear" w:pos="720"/>
          <w:tab w:val="left" w:pos="5850" w:leader="none"/>
        </w:tabs>
        <w:jc w:val="both"/>
        <w:rPr>
          <w:rFonts w:ascii="Arial Narrow" w:hAnsi="Arial Narrow" w:cs="Arial Narrow"/>
          <w:b/>
          <w:sz w:val="20"/>
          <w:szCs w:val="24"/>
        </w:rPr>
      </w:pPr>
      <w:r>
        <w:rPr>
          <w:rFonts w:cs="Arial Narrow" w:ascii="Arial Narrow" w:hAnsi="Arial Narrow"/>
          <w:b/>
          <w:sz w:val="20"/>
          <w:szCs w:val="24"/>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spacing w:lineRule="auto" w:line="120"/>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r>
    </w:p>
    <w:p>
      <w:pPr>
        <w:pStyle w:val="Normal"/>
        <w:widowControl/>
        <w:rPr>
          <w:rFonts w:ascii="Arial Narrow" w:hAnsi="Arial Narrow" w:cs="Arial Narrow"/>
          <w:b/>
          <w:bCs/>
          <w:sz w:val="20"/>
        </w:rPr>
      </w:pPr>
      <w:r>
        <w:rPr>
          <w:rFonts w:cs="Arial Narrow" w:ascii="Arial Narrow" w:hAnsi="Arial Narrow"/>
          <w:b/>
          <w:bCs/>
          <w:sz w:val="20"/>
        </w:rPr>
        <w:t>Mariner Energy, Inc.</w:t>
        <w:tab/>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By:</w:t>
        <w:tab/>
        <w:tab/>
        <w:tab/>
        <w:tab/>
        <w:tab/>
        <w:tab/>
        <w:tab/>
        <w:tab/>
        <w:tab/>
        <w:t>By:</w:t>
        <w:tab/>
        <w:tab/>
        <w:tab/>
        <w:tab/>
        <w:tab/>
        <w:tab/>
        <w:tab/>
      </w:r>
    </w:p>
    <w:p>
      <w:pPr>
        <w:pStyle w:val="Normal"/>
        <w:widowControl/>
        <w:jc w:val="both"/>
        <w:rPr>
          <w:rFonts w:ascii="Arial Narrow" w:hAnsi="Arial Narrow" w:cs="Arial Narrow"/>
          <w:sz w:val="20"/>
        </w:rPr>
      </w:pPr>
      <w:r>
        <w:rPr>
          <w:rFonts w:cs="Arial Narrow" w:ascii="Arial Narrow" w:hAnsi="Arial Narrow"/>
          <w:sz w:val="20"/>
        </w:rPr>
        <w:t>Name:</w:t>
        <w:tab/>
        <w:tab/>
        <w:tab/>
        <w:tab/>
        <w:tab/>
        <w:tab/>
        <w:tab/>
        <w:tab/>
        <w:tab/>
        <w:t>Name:</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Title:</w:t>
        <w:tab/>
        <w:tab/>
        <w:tab/>
        <w:tab/>
        <w:tab/>
        <w:tab/>
        <w:tab/>
        <w:tab/>
        <w:tab/>
        <w:t>Title:</w:t>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true"/>
      <w:autoSpaceDE w:val="true"/>
      <w:textAlignment w:val="auto"/>
    </w:pPr>
    <w:rPr>
      <w:rFonts w:ascii="Arial" w:hAnsi="Arial" w:cs="Arial"/>
      <w:sz w:val="20"/>
      <w:szCs w:val="24"/>
    </w:rPr>
  </w:style>
  <w:style w:type="paragraph" w:styleId="List">
    <w:name w:val="List"/>
    <w:basedOn w:val="BodyText"/>
    <w:pPr/>
    <w:rPr>
      <w:rFonts w:cs="NotoSans NF"/>
    </w:rPr>
  </w:style>
  <w:style w:type="paragraph" w:styleId="Caption">
    <w:name w:val="caption"/>
    <w:basedOn w:val="Normal"/>
    <w:next w:val="Normal"/>
    <w:qFormat/>
    <w:pPr>
      <w:widowControl/>
      <w:jc w:val="center"/>
    </w:pPr>
    <w:rPr>
      <w:rFonts w:ascii="Arial Narrow" w:hAnsi="Arial Narrow" w:cs="Arial Narrow"/>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2001-10-19T18:16:00Z</dcterms:created>
  <dc:creator>ECT</dc:creator>
  <dc:description/>
  <dc:language>en-CA</dc:language>
  <cp:lastModifiedBy>gnemec</cp:lastModifiedBy>
  <cp:lastPrinted>2001-09-12T11:36:00Z</cp:lastPrinted>
  <dcterms:modified xsi:type="dcterms:W3CDTF">2001-10-19T18:16:00Z</dcterms:modified>
  <cp:revision>2</cp:revision>
  <dc:subject/>
  <dc:title>881246</dc:title>
</cp:coreProperties>
</file>