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PORTFOLIO OWNERSHIP</w:t>
      </w:r>
    </w:p>
    <w:p>
      <w:pPr>
        <w:pStyle w:val="Normal"/>
        <w:jc w:val="center"/>
        <w:rPr/>
      </w:pPr>
      <w:r>
        <w:rPr/>
        <w:t>AND TRANSFERABILITY</w:t>
      </w:r>
    </w:p>
    <w:p>
      <w:pPr>
        <w:pStyle w:val="Normal"/>
        <w:jc w:val="both"/>
        <w:rPr/>
      </w:pPr>
      <w:r>
        <w:rPr/>
      </w:r>
    </w:p>
    <w:p>
      <w:pPr>
        <w:pStyle w:val="Normal"/>
        <w:jc w:val="both"/>
        <w:rPr/>
      </w:pPr>
      <w:r>
        <w:rPr/>
      </w:r>
    </w:p>
    <w:p>
      <w:pPr>
        <w:pStyle w:val="Normal"/>
        <w:numPr>
          <w:ilvl w:val="0"/>
          <w:numId w:val="1"/>
        </w:numPr>
        <w:spacing w:before="0" w:after="240"/>
        <w:jc w:val="both"/>
        <w:rPr/>
      </w:pPr>
      <w:r>
        <w:rPr/>
        <w:t>BT Exploration LLC (Bonne Terre)—ECTMI Trutta Holdings LP owns 25% and JEDI II owns 75% of BT Resources LLC, which owns 100% of BT Exploration LLC, which owns assets other than seismic license, which is held by ENA.</w:t>
      </w:r>
    </w:p>
    <w:p>
      <w:pPr>
        <w:pStyle w:val="BodyTextIndent"/>
        <w:rPr/>
      </w:pPr>
      <w:r>
        <w:rPr/>
        <w:t>Direct ownership of working interests.  Leases should be checked to see if consents to assignments are required.  If not, and no seismic license issues, consider assigning working interests to Mariner.</w:t>
      </w:r>
    </w:p>
    <w:p>
      <w:pPr>
        <w:pStyle w:val="Normal"/>
        <w:numPr>
          <w:ilvl w:val="0"/>
          <w:numId w:val="1"/>
        </w:numPr>
        <w:spacing w:before="0" w:after="240"/>
        <w:jc w:val="both"/>
        <w:rPr/>
      </w:pPr>
      <w:r>
        <w:rPr/>
        <w:t>CGAS, Inc.—100% by McGarret XI, L.L.C.</w:t>
      </w:r>
    </w:p>
    <w:p>
      <w:pPr>
        <w:pStyle w:val="Normal"/>
        <w:spacing w:before="0" w:after="240"/>
        <w:ind w:start="720" w:end="0"/>
        <w:jc w:val="both"/>
        <w:rPr/>
      </w:pPr>
      <w:r>
        <w:rPr/>
        <w:t>Unwind CGAS from Hawaii structure and put exchanged Mariner shares in Hawaii—needs consent of counterparties in Hawaii—generally obtained.  Fairness opinion should help.  No cash payment required.  Commercial person should call Charles DeLacey and Gordon McKillop.</w:t>
      </w:r>
    </w:p>
    <w:p>
      <w:pPr>
        <w:pStyle w:val="Normal"/>
        <w:numPr>
          <w:ilvl w:val="0"/>
          <w:numId w:val="1"/>
        </w:numPr>
        <w:spacing w:before="0" w:after="240"/>
        <w:jc w:val="both"/>
        <w:rPr/>
      </w:pPr>
      <w:r>
        <w:rPr/>
        <w:t>Crescendo Energy, LLC—JEDI II owns 50% and ECTMI Trutta Holdings LP owns 50% of Entrada Energy Ventures, L.L.C., which owns an initial 88.796% interest in Crescendo.</w:t>
      </w:r>
    </w:p>
    <w:p>
      <w:pPr>
        <w:pStyle w:val="Normal"/>
        <w:spacing w:before="0" w:after="240"/>
        <w:ind w:start="720" w:end="0"/>
        <w:jc w:val="both"/>
        <w:rPr/>
      </w:pPr>
      <w:r>
        <w:rPr/>
        <w:t>JEDI II and ECTMI Trutta membership interests are freely assignable to an Enron affiliate (Section 3.3(b)(i)), and assignee becomes a substituted member upon compliance with Section 3.3(b)(iv) and (v)—requires written legal confirmation re. exemption from registration requirements and no tax termination.</w:t>
      </w:r>
    </w:p>
    <w:p>
      <w:pPr>
        <w:pStyle w:val="Normal"/>
        <w:numPr>
          <w:ilvl w:val="0"/>
          <w:numId w:val="1"/>
        </w:numPr>
        <w:spacing w:before="0" w:after="240"/>
        <w:jc w:val="both"/>
        <w:rPr/>
      </w:pPr>
      <w:r>
        <w:rPr/>
        <w:t>Cypress—Assets are still held in ENA.  Seismic licenses are also held by ENA.  Consents were obtained for assignment of most leases, but assignments have not been made into Acadian Exploration LLC, which is owned by Acadian Management LLC, which is owned by ECTMI Trutta Holdings LP.</w:t>
      </w:r>
    </w:p>
    <w:p>
      <w:pPr>
        <w:pStyle w:val="Normal"/>
        <w:numPr>
          <w:ilvl w:val="0"/>
          <w:numId w:val="1"/>
        </w:numPr>
        <w:spacing w:before="0" w:after="240"/>
        <w:jc w:val="both"/>
        <w:rPr/>
      </w:pPr>
      <w:r>
        <w:rPr/>
        <w:t>Juniper Energy L.P.—ECTMI Trutta Holdings LP owns 24.6875%; JEDI II owns 74.0625%.  (currently beyond term—anticipate acquiring GP’s 1.25% interest).</w:t>
      </w:r>
    </w:p>
    <w:p>
      <w:pPr>
        <w:pStyle w:val="Normal"/>
        <w:spacing w:before="0" w:after="240"/>
        <w:ind w:start="720" w:end="0"/>
        <w:jc w:val="both"/>
        <w:rPr/>
      </w:pPr>
      <w:r>
        <w:rPr/>
        <w:t>JEDI II and ECTMI Trutta partnership interests are freely assignable to an Enron affiliate (Section 3.4(b)), and assignee becomes a substituted limited partner upon compliance with Section 3.02(c).</w:t>
      </w:r>
    </w:p>
    <w:p>
      <w:pPr>
        <w:pStyle w:val="Normal"/>
        <w:numPr>
          <w:ilvl w:val="0"/>
          <w:numId w:val="1"/>
        </w:numPr>
        <w:spacing w:before="0" w:after="240"/>
        <w:jc w:val="both"/>
        <w:rPr/>
      </w:pPr>
      <w:r>
        <w:rPr/>
        <w:t>Mariner Energy, LLC—JEDI (which is now 100% Enron) owns 95.73%.</w:t>
      </w:r>
    </w:p>
    <w:p>
      <w:pPr>
        <w:pStyle w:val="BodyTextIndent"/>
        <w:rPr/>
      </w:pPr>
      <w:r>
        <w:rPr/>
        <w:t>Preemptive rights of shareholders do not apply to shares issued pursuant to the acquisition of a business entity or assets by way of merger, purchase of assets or otherwise.  (Section D.2.(e) of Shareholders’ Agreement)</w:t>
      </w:r>
    </w:p>
    <w:p>
      <w:pPr>
        <w:pStyle w:val="Normal"/>
        <w:numPr>
          <w:ilvl w:val="0"/>
          <w:numId w:val="1"/>
        </w:numPr>
        <w:spacing w:before="0" w:after="240"/>
        <w:jc w:val="both"/>
        <w:rPr/>
      </w:pPr>
      <w:r>
        <w:rPr/>
        <w:t>Preston Gulf Coast L.P.—JEDI II owns 25% BPO, 24% APO 1, 22.75% APO 2, 21.25% APO 3; ECT Merchant Investments Corp. owns 25%, 24% APO 1, 22.75% APO 2, 21.25% APO 3.</w:t>
      </w:r>
    </w:p>
    <w:p>
      <w:pPr>
        <w:pStyle w:val="Normal"/>
        <w:spacing w:before="0" w:after="240"/>
        <w:ind w:start="720" w:end="0"/>
        <w:jc w:val="both"/>
        <w:rPr/>
      </w:pPr>
      <w:r>
        <w:rPr/>
        <w:t>JEDI II and EMIC partnership interests are freely assignable to an Enron affiliate (Section 3.02(b)), and assignee becomes a substituted limited partner upon compliance with Section 3.02(c).</w:t>
      </w:r>
    </w:p>
    <w:p>
      <w:pPr>
        <w:pStyle w:val="Normal"/>
        <w:numPr>
          <w:ilvl w:val="0"/>
          <w:numId w:val="1"/>
        </w:numPr>
        <w:spacing w:before="0" w:after="240"/>
        <w:jc w:val="both"/>
        <w:rPr/>
      </w:pPr>
      <w:r>
        <w:rPr/>
        <w:t>Tarpon Offshore, L.P.—JEDI II owns 48.8% BPO, 46.3% APO 1, 42.55% APO 2; ECT Merchant Investments Corp. owns 48.8% BPO, 46.3% APO 1, 42.55% APO 2.</w:t>
      </w:r>
    </w:p>
    <w:p>
      <w:pPr>
        <w:pStyle w:val="Normal"/>
        <w:spacing w:before="0" w:after="240"/>
        <w:ind w:start="720" w:end="0"/>
        <w:jc w:val="both"/>
        <w:rPr/>
      </w:pPr>
      <w:r>
        <w:rPr/>
        <w:t>JEDI II and EMIC partnership interests are freely assignable to an Enron affiliate (Section 3.02(b)), and assignee becomes a substituted limited partner upon compliance with Section 3.02(c).</w:t>
      </w:r>
    </w:p>
    <w:p>
      <w:pPr>
        <w:pStyle w:val="Normal"/>
        <w:numPr>
          <w:ilvl w:val="0"/>
          <w:numId w:val="1"/>
        </w:numPr>
        <w:spacing w:before="0" w:after="240"/>
        <w:jc w:val="both"/>
        <w:rPr/>
      </w:pPr>
      <w:r>
        <w:rPr/>
        <w:t>Texland Limited Partnership I—JEDI II owns 48.75% BPO, 39% APO; ECTMI Trutta Holdings LP owns 16.25% BPO, 13% APO.</w:t>
      </w:r>
    </w:p>
    <w:p>
      <w:pPr>
        <w:pStyle w:val="Normal"/>
        <w:spacing w:before="0" w:after="240"/>
        <w:ind w:start="720" w:end="0"/>
        <w:jc w:val="both"/>
        <w:rPr/>
      </w:pPr>
      <w:r>
        <w:rPr/>
        <w:t>JEDI II and ECTMI Trutta partnership interests are freely assignable to an Enron affiliate (Section 3.4(b)), and assignee becomes a substituted limited partner upon compliance with Section 3.5.</w:t>
      </w:r>
    </w:p>
    <w:p>
      <w:pPr>
        <w:pStyle w:val="Normal"/>
        <w:numPr>
          <w:ilvl w:val="0"/>
          <w:numId w:val="1"/>
        </w:numPr>
        <w:spacing w:before="0" w:after="240"/>
        <w:jc w:val="both"/>
        <w:rPr/>
      </w:pPr>
      <w:r>
        <w:rPr/>
        <w:t>Vastar—JEDI Hydrocarbon Investments II Limited Partnership which is 100% owned by JEDI II</w:t>
      </w:r>
    </w:p>
    <w:p>
      <w:pPr>
        <w:pStyle w:val="BodyTextIndent"/>
        <w:rPr/>
      </w:pPr>
      <w:r>
        <w:rPr/>
        <w:t>Direct ownership of working interests.  Leases should be checked to see if consents to assignments are required.  If not, and no seismic license issues, consider assigning working interests to Mariner.</w:t>
      </w:r>
    </w:p>
    <w:p>
      <w:pPr>
        <w:pStyle w:val="Normal"/>
        <w:numPr>
          <w:ilvl w:val="0"/>
          <w:numId w:val="1"/>
        </w:numPr>
        <w:spacing w:before="0" w:after="240"/>
        <w:jc w:val="both"/>
        <w:rPr/>
      </w:pPr>
      <w:r>
        <w:rPr/>
        <w:t>Westwin Energy I Limited Partnership—JEDI II owns 45%, subject to adjustment as provided in the partnership agreement; ECT Merchant Investments Corp. owns 45%, subject to adjustment as provided in the partnership agreement.</w:t>
      </w:r>
    </w:p>
    <w:p>
      <w:pPr>
        <w:pStyle w:val="Normal"/>
        <w:spacing w:before="0" w:after="240"/>
        <w:ind w:start="720" w:end="0"/>
        <w:jc w:val="both"/>
        <w:rPr/>
      </w:pPr>
      <w:r>
        <w:rPr/>
        <w:t>JEDI II and EMIC partnership interests are freely assignable to an Enron affiliate (Section 3.03(a)), and assignee become a substituted limited partner upon compliance with Section 3.03(f) and (g)—requires legal opinion.</w:t>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72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2001-09-26T16:25:00Z</dcterms:created>
  <dc:creator>tbushma</dc:creator>
  <dc:description/>
  <dc:language>en-CA</dc:language>
  <cp:lastModifiedBy>tbushma</cp:lastModifiedBy>
  <cp:lastPrinted>2001-09-27T18:12:00Z</cp:lastPrinted>
  <dcterms:modified xsi:type="dcterms:W3CDTF">2001-10-08T18:58:00Z</dcterms:modified>
  <cp:revision>8</cp:revision>
  <dc:subject/>
  <dc:title/>
</cp:coreProperties>
</file>