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October 8, 2001</w:t>
      </w:r>
    </w:p>
    <w:p>
      <w:pPr>
        <w:pStyle w:val="Normal"/>
        <w:jc w:val="center"/>
        <w:rPr/>
      </w:pPr>
      <w:r>
        <w:rPr/>
        <w:t>ISSUES LIST</w:t>
      </w:r>
    </w:p>
    <w:p>
      <w:pPr>
        <w:pStyle w:val="Normal"/>
        <w:jc w:val="both"/>
        <w:rPr/>
      </w:pPr>
      <w:r>
        <w:rPr/>
      </w:r>
    </w:p>
    <w:p>
      <w:pPr>
        <w:pStyle w:val="Normal"/>
        <w:jc w:val="both"/>
        <w:rPr/>
      </w:pPr>
      <w:r>
        <w:rPr/>
      </w:r>
    </w:p>
    <w:p>
      <w:pPr>
        <w:pStyle w:val="Normal"/>
        <w:numPr>
          <w:ilvl w:val="0"/>
          <w:numId w:val="1"/>
        </w:numPr>
        <w:spacing w:before="0" w:after="240"/>
        <w:jc w:val="both"/>
        <w:rPr/>
      </w:pPr>
      <w:r>
        <w:rPr/>
        <w:t>Enron-controlled entities are on both sides of the transaction.</w:t>
      </w:r>
    </w:p>
    <w:p>
      <w:pPr>
        <w:pStyle w:val="Normal"/>
        <w:spacing w:before="0" w:after="240"/>
        <w:ind w:start="1080" w:end="0"/>
        <w:jc w:val="both"/>
        <w:rPr/>
      </w:pPr>
      <w:r>
        <w:rPr/>
        <w:t>Is it an arms’ length, fair transaction?  Obtain fairness opinion(s).</w:t>
      </w:r>
    </w:p>
    <w:p>
      <w:pPr>
        <w:pStyle w:val="Normal"/>
        <w:spacing w:before="0" w:after="240"/>
        <w:ind w:start="1080" w:end="0"/>
        <w:jc w:val="both"/>
        <w:rPr/>
      </w:pPr>
      <w:r>
        <w:rPr/>
        <w:t>Recommend two transaction and legal teams.  No common members of teams or sharing of transaction information.</w:t>
      </w:r>
    </w:p>
    <w:p>
      <w:pPr>
        <w:pStyle w:val="Normal"/>
        <w:numPr>
          <w:ilvl w:val="0"/>
          <w:numId w:val="1"/>
        </w:numPr>
        <w:spacing w:before="0" w:after="240"/>
        <w:jc w:val="both"/>
        <w:rPr/>
      </w:pPr>
      <w:r>
        <w:rPr/>
        <w:t>Optimum to have a fairness opinion issued by one investment bank on behalf of ECTMI Trutta, JEDI II, McGarret, and ECT Merchant Investments and another opinion issued by a different investment bank on behalf of Mariner.</w:t>
      </w:r>
    </w:p>
    <w:p>
      <w:pPr>
        <w:pStyle w:val="BodyTextIndent2"/>
        <w:ind w:start="1080" w:end="0"/>
        <w:rPr/>
      </w:pPr>
      <w:r>
        <w:rPr/>
        <w:t>May elect not to obtain fairness opinion for Mariner if Henderson et al. are bought out—evaluate risk of minority shareholder litigation.  Helpful if non-Enron directors approve transaction.</w:t>
      </w:r>
    </w:p>
    <w:p>
      <w:pPr>
        <w:pStyle w:val="BodyTextIndent2"/>
        <w:ind w:start="1080" w:end="0"/>
        <w:rPr/>
      </w:pPr>
      <w:r>
        <w:rPr/>
        <w:t>Expensive to obtain.  Do we have relationships to enable us to get better rates?  Tim Detmering may be a good resource.</w:t>
      </w:r>
    </w:p>
    <w:p>
      <w:pPr>
        <w:pStyle w:val="BodyTextIndent2"/>
        <w:ind w:start="1080" w:end="0"/>
        <w:rPr/>
      </w:pPr>
      <w:r>
        <w:rPr/>
        <w:t>One to two months to obtain?</w:t>
        <w:tab/>
        <w:tab/>
      </w:r>
    </w:p>
    <w:p>
      <w:pPr>
        <w:pStyle w:val="Normal"/>
        <w:numPr>
          <w:ilvl w:val="0"/>
          <w:numId w:val="1"/>
        </w:numPr>
        <w:spacing w:before="0" w:after="240"/>
        <w:jc w:val="both"/>
        <w:rPr/>
      </w:pPr>
      <w:r>
        <w:rPr/>
        <w:t>What is the effect of fairness opinion?</w:t>
      </w:r>
    </w:p>
    <w:p>
      <w:pPr>
        <w:pStyle w:val="BodyTextIndent"/>
        <w:rPr/>
      </w:pPr>
      <w:r>
        <w:rPr/>
        <w:t>Accounting issue if valuation differs from our book valuation—may imply impairment to valuation but will not necessarily require write-down.</w:t>
      </w:r>
    </w:p>
    <w:p>
      <w:pPr>
        <w:pStyle w:val="Normal"/>
        <w:numPr>
          <w:ilvl w:val="0"/>
          <w:numId w:val="1"/>
        </w:numPr>
        <w:spacing w:before="0" w:after="240"/>
        <w:jc w:val="both"/>
        <w:rPr/>
      </w:pPr>
      <w:r>
        <w:rPr/>
        <w:t>What are issues regarding transferability of portfolio equity interests?</w:t>
      </w:r>
    </w:p>
    <w:p>
      <w:pPr>
        <w:pStyle w:val="BodyTextIndent"/>
        <w:rPr/>
      </w:pPr>
      <w:r>
        <w:rPr/>
        <w:t>See attached Portfolio Ownership and Transferability.</w:t>
      </w:r>
    </w:p>
    <w:p>
      <w:pPr>
        <w:pStyle w:val="BodyTextIndent"/>
        <w:numPr>
          <w:ilvl w:val="0"/>
          <w:numId w:val="1"/>
        </w:numPr>
        <w:rPr/>
      </w:pPr>
      <w:r>
        <w:rPr/>
        <w:t>What are issues regarding stock exchange with respect to interests attributable to non-Enron entities?</w:t>
      </w:r>
    </w:p>
    <w:p>
      <w:pPr>
        <w:pStyle w:val="BodyTextIndent"/>
        <w:rPr/>
      </w:pPr>
      <w:r>
        <w:rPr/>
        <w:t>JEDI II—CalPers consent required and fairness opinion may be required.  Affects Bonne Terre, Crescendo, Juniper, Preston, Tarpon, Texland, Vastar, and Westwin.</w:t>
      </w:r>
    </w:p>
    <w:p>
      <w:pPr>
        <w:pStyle w:val="BodyTextIndent"/>
        <w:rPr/>
      </w:pPr>
      <w:r>
        <w:rPr/>
        <w:t>ECTMI Trutta Holdings LP—Consents may be required if assets are transferred for less than their contributed values.  Affects Bonne Terre, Crescendo, Cypress, Juniper, and Texland.</w:t>
      </w:r>
    </w:p>
    <w:p>
      <w:pPr>
        <w:pStyle w:val="BodyTextIndent"/>
        <w:rPr/>
      </w:pPr>
      <w:r>
        <w:rPr/>
        <w:t>McGarret XI, L.L.C.—Remove CGAS from Hawaii structure and put exchanged Mariner shares into Hawaii.  Requires consent of counterparties in Hawaii—generally obtainable.  Fairness opinion should help.  No cash payment required.  Contact Charles DeLacey and Gordon McKillop.  Affects CGAS only.</w:t>
      </w:r>
    </w:p>
    <w:p>
      <w:pPr>
        <w:pStyle w:val="BodyTextIndent"/>
        <w:rPr/>
      </w:pPr>
      <w:r>
        <w:rPr/>
        <w:t>ECT Merchant Investments Corp.—internal approval.  Affects Preston, Tarpon, and Westwin.</w:t>
      </w:r>
    </w:p>
    <w:p>
      <w:pPr>
        <w:pStyle w:val="BodyTextIndent"/>
        <w:numPr>
          <w:ilvl w:val="0"/>
          <w:numId w:val="1"/>
        </w:numPr>
        <w:rPr/>
      </w:pPr>
      <w:r>
        <w:rPr/>
        <w:t>What are issues regarding issuance of additional Mariner stock?</w:t>
      </w:r>
    </w:p>
    <w:p>
      <w:pPr>
        <w:pStyle w:val="BodyTextIndent"/>
        <w:rPr/>
      </w:pPr>
      <w:r>
        <w:rPr/>
        <w:t>Preemptive rights will not apply.  Possible valuation issue with respect to minority shareholders if no fairness opinion to Mariner.</w:t>
      </w:r>
    </w:p>
    <w:p>
      <w:pPr>
        <w:pStyle w:val="BodyTextIndent"/>
        <w:numPr>
          <w:ilvl w:val="0"/>
          <w:numId w:val="1"/>
        </w:numPr>
        <w:rPr/>
      </w:pPr>
      <w:r>
        <w:rPr/>
        <w:t xml:space="preserve">Consider effect of valuation of Mariner stock for purposes of settling with terminated employees on valuation for purposes of the exchange transaction. </w:t>
      </w:r>
    </w:p>
    <w:p>
      <w:pPr>
        <w:pStyle w:val="BodyTextIndent"/>
        <w:numPr>
          <w:ilvl w:val="0"/>
          <w:numId w:val="1"/>
        </w:numPr>
        <w:rPr/>
      </w:pPr>
      <w:r>
        <w:rPr/>
        <w:t>What are issues regarding seismic licenses or other agreements within the portfolio companies that may contain change of control provisions?</w:t>
      </w:r>
    </w:p>
    <w:p>
      <w:pPr>
        <w:pStyle w:val="BodyTextIndent"/>
        <w:rPr/>
      </w:pPr>
      <w:r>
        <w:rPr/>
        <w:t xml:space="preserve">Seismic licenses are being reviewed.  </w:t>
      </w:r>
    </w:p>
    <w:p>
      <w:pPr>
        <w:pStyle w:val="BodyTextIndent"/>
        <w:rPr/>
      </w:pPr>
      <w:r>
        <w:rPr/>
        <w:t xml:space="preserve">Request management of portfolio companies to determine if there are issues under other agreements; don’t expect issues since interests will still be held by an Enron affiliate. </w:t>
      </w:r>
    </w:p>
    <w:p>
      <w:pPr>
        <w:pStyle w:val="BodyTextIndent"/>
        <w:numPr>
          <w:ilvl w:val="0"/>
          <w:numId w:val="1"/>
        </w:numPr>
        <w:rPr/>
      </w:pPr>
      <w:r>
        <w:rPr/>
        <w:t>What are tax consequences?</w:t>
      </w:r>
    </w:p>
    <w:p>
      <w:pPr>
        <w:pStyle w:val="BodyTextIndent"/>
        <w:rPr/>
      </w:pPr>
      <w:r>
        <w:rPr/>
        <w:t>No adverse tax consequences.—Confirm with Kevin Liss</w:t>
      </w:r>
    </w:p>
    <w:p>
      <w:pPr>
        <w:pStyle w:val="BodyTextIndent"/>
        <w:numPr>
          <w:ilvl w:val="0"/>
          <w:numId w:val="1"/>
        </w:numPr>
        <w:rPr/>
      </w:pPr>
      <w:r>
        <w:rPr/>
        <w:t>Who from Enron will manage the Mariner investment?  Changes in board membership?</w:t>
      </w:r>
    </w:p>
    <w:p>
      <w:pPr>
        <w:pStyle w:val="BodyTextIndent"/>
        <w:numPr>
          <w:ilvl w:val="0"/>
          <w:numId w:val="1"/>
        </w:numPr>
        <w:rPr/>
      </w:pPr>
      <w:r>
        <w:rPr/>
        <w:t>Employment agreements for new Mariner employees; new incentive plan.</w:t>
      </w:r>
    </w:p>
    <w:p>
      <w:pPr>
        <w:pStyle w:val="BodyTextIndent"/>
        <w:numPr>
          <w:ilvl w:val="0"/>
          <w:numId w:val="1"/>
        </w:numPr>
        <w:rPr/>
      </w:pPr>
      <w:r>
        <w:rPr/>
        <w:t>Accounting issues--true sale opinion will probably be required.</w:t>
      </w:r>
    </w:p>
    <w:p>
      <w:pPr>
        <w:pStyle w:val="BodyTextIndent"/>
        <w:numPr>
          <w:ilvl w:val="0"/>
          <w:numId w:val="1"/>
        </w:numPr>
        <w:rPr/>
      </w:pPr>
      <w:r>
        <w:rPr/>
        <w:t>HSR filing required?</w:t>
      </w:r>
    </w:p>
    <w:p>
      <w:pPr>
        <w:pStyle w:val="BodyTextIndent"/>
        <w:spacing w:before="0" w:after="240"/>
        <w:ind w:start="360" w:end="0"/>
        <w:rPr/>
      </w:pPr>
      <w:r>
        <w:rPr/>
      </w:r>
    </w:p>
    <w:sectPr>
      <w:type w:val="nextPage"/>
      <w:pgSz w:w="12240" w:h="15840"/>
      <w:pgMar w:left="1440" w:right="144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1080" w:end="0"/>
      <w:jc w:val="both"/>
    </w:pPr>
    <w:rPr/>
  </w:style>
  <w:style w:type="paragraph" w:styleId="BodyTextIndent2">
    <w:name w:val="Body Text Indent 2"/>
    <w:basedOn w:val="Normal"/>
    <w:qFormat/>
    <w:pPr>
      <w:spacing w:before="0" w:after="240"/>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2001-10-03T18:46:00Z</dcterms:created>
  <dc:creator>tbushma</dc:creator>
  <dc:description/>
  <dc:language>en-CA</dc:language>
  <cp:lastModifiedBy>tbushma</cp:lastModifiedBy>
  <dcterms:modified xsi:type="dcterms:W3CDTF">2001-10-08T17:48:00Z</dcterms:modified>
  <cp:revision>8</cp:revision>
  <dc:subject/>
  <dc:title>October 3, 2001</dc:title>
</cp:coreProperties>
</file>