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t>MARIE HEARD</w:t>
      </w:r>
    </w:p>
    <w:p>
      <w:pPr>
        <w:pStyle w:val="Normal"/>
        <w:jc w:val="center"/>
        <w:rPr>
          <w:b/>
        </w:rPr>
      </w:pPr>
      <w:r>
        <w:rPr>
          <w:b/>
        </w:rPr>
        <w:t>8027 Oakwood Trace</w:t>
      </w:r>
    </w:p>
    <w:p>
      <w:pPr>
        <w:pStyle w:val="Normal"/>
        <w:jc w:val="center"/>
        <w:rPr>
          <w:b/>
        </w:rPr>
      </w:pPr>
      <w:r>
        <w:rPr>
          <w:b/>
        </w:rPr>
        <w:t>Houston, Texas  77040</w:t>
      </w:r>
    </w:p>
    <w:p>
      <w:pPr>
        <w:pStyle w:val="Normal"/>
        <w:jc w:val="center"/>
        <w:rPr>
          <w:b/>
        </w:rPr>
      </w:pPr>
      <w:r>
        <w:rPr>
          <w:b/>
        </w:rPr>
        <w:t>(713) 896-1673 – home</w:t>
      </w:r>
    </w:p>
    <w:p>
      <w:pPr>
        <w:pStyle w:val="Normal"/>
        <w:jc w:val="center"/>
        <w:rPr>
          <w:b/>
        </w:rPr>
      </w:pPr>
      <w:r>
        <w:rPr>
          <w:b/>
        </w:rPr>
        <w:t>(713) 853-3907 – work</w:t>
      </w:r>
    </w:p>
    <w:p>
      <w:pPr>
        <w:pStyle w:val="Normal"/>
        <w:jc w:val="center"/>
        <w:rPr>
          <w:b/>
        </w:rPr>
      </w:pPr>
      <w:r>
        <w:rPr>
          <w:b/>
        </w:rPr>
      </w:r>
    </w:p>
    <w:p>
      <w:pPr>
        <w:pStyle w:val="Normal"/>
        <w:jc w:val="center"/>
        <w:rPr>
          <w:b/>
        </w:rPr>
      </w:pPr>
      <w:r>
        <w:rPr>
          <w:b/>
        </w:rPr>
      </w:r>
    </w:p>
    <w:p>
      <w:pPr>
        <w:pStyle w:val="Heading1"/>
        <w:ind w:hanging="0" w:start="0"/>
        <w:rPr/>
      </w:pPr>
      <w:r>
        <w:rPr/>
        <w:t>OBJECTIVE</w:t>
      </w:r>
    </w:p>
    <w:p>
      <w:pPr>
        <w:pStyle w:val="Normal"/>
        <w:jc w:val="center"/>
        <w:rPr>
          <w:b/>
        </w:rPr>
      </w:pPr>
      <w:r>
        <w:rPr>
          <w:b/>
        </w:rPr>
      </w:r>
    </w:p>
    <w:p>
      <w:pPr>
        <w:pStyle w:val="Normal"/>
        <w:jc w:val="center"/>
        <w:rPr>
          <w:b/>
        </w:rPr>
      </w:pPr>
      <w:r>
        <w:rPr>
          <w:b/>
        </w:rPr>
        <w:t>Legal Assistant position utilizing training in the energy field</w:t>
      </w:r>
    </w:p>
    <w:p>
      <w:pPr>
        <w:pStyle w:val="Normal"/>
        <w:jc w:val="center"/>
        <w:rPr>
          <w:b/>
        </w:rPr>
      </w:pPr>
      <w:r>
        <w:rPr>
          <w:b/>
        </w:rPr>
      </w:r>
    </w:p>
    <w:p>
      <w:pPr>
        <w:pStyle w:val="Heading1"/>
        <w:ind w:hanging="0" w:start="0"/>
        <w:rPr/>
      </w:pPr>
      <w:r>
        <w:rPr/>
        <w:t>EMPLOYMENT</w:t>
      </w:r>
    </w:p>
    <w:p>
      <w:pPr>
        <w:pStyle w:val="Normal"/>
        <w:jc w:val="center"/>
        <w:rPr>
          <w:b/>
        </w:rPr>
      </w:pPr>
      <w:r>
        <w:rPr>
          <w:b/>
        </w:rPr>
      </w:r>
    </w:p>
    <w:p>
      <w:pPr>
        <w:pStyle w:val="Normal"/>
        <w:rPr>
          <w:b/>
        </w:rPr>
      </w:pPr>
      <w:r>
        <w:rPr>
          <w:b/>
        </w:rPr>
        <w:t>April, 2000 to Present – Enron Broadband Services, Inc.</w:t>
      </w:r>
    </w:p>
    <w:p>
      <w:pPr>
        <w:pStyle w:val="Normal"/>
        <w:rPr>
          <w:b/>
        </w:rPr>
      </w:pPr>
      <w:r>
        <w:rPr>
          <w:b/>
        </w:rPr>
      </w:r>
    </w:p>
    <w:p>
      <w:pPr>
        <w:pStyle w:val="BodyTextIndent"/>
        <w:ind w:start="792" w:end="0"/>
        <w:jc w:val="both"/>
        <w:rPr/>
      </w:pPr>
      <w:r>
        <w:rPr/>
        <w:t>Job Description:</w:t>
        <w:tab/>
        <w:t>Senior Legal Specialist in the Trading Group.  Duties include preparing and negotiating Master Agreements, omnibus forms of confirmations, confidentiality agreements and miscellaneous documents; assisting commercial groups in their trading activities, the Trading Confirmation Desk and the Trade Credit Group.</w:t>
      </w:r>
    </w:p>
    <w:p>
      <w:pPr>
        <w:pStyle w:val="Normal"/>
        <w:rPr>
          <w:b/>
        </w:rPr>
      </w:pPr>
      <w:r>
        <w:rPr>
          <w:b/>
        </w:rPr>
      </w:r>
    </w:p>
    <w:p>
      <w:pPr>
        <w:pStyle w:val="Normal"/>
        <w:rPr>
          <w:b/>
        </w:rPr>
      </w:pPr>
      <w:r>
        <w:rPr>
          <w:b/>
        </w:rPr>
        <w:t>1996 to April, 2000 – Enron North America Corp. (formerly Enron Capital &amp; Trade Resources Corp.)</w:t>
      </w:r>
    </w:p>
    <w:p>
      <w:pPr>
        <w:pStyle w:val="Normal"/>
        <w:jc w:val="both"/>
        <w:rPr>
          <w:b/>
        </w:rPr>
      </w:pPr>
      <w:r>
        <w:rPr>
          <w:b/>
        </w:rPr>
      </w:r>
    </w:p>
    <w:p>
      <w:pPr>
        <w:pStyle w:val="BodyTextIndent"/>
        <w:ind w:start="792" w:end="0"/>
        <w:jc w:val="both"/>
        <w:rPr/>
      </w:pPr>
      <w:r>
        <w:rPr/>
        <w:t>Job Description:</w:t>
        <w:tab/>
        <w:t>Senior Legal Specialist in the Financial Trading Group.  Duties include preparing and negotiating ISDA Master Agreements and related forms of Master Agreements, omnibus forms of confirmations, confidentiality agreements and miscellaneous documents; opening brokerage accounts for all domestic trading companies; assisting commercial groups in their trading activities, the Financial Trading Confirmation Desk and the Trade Credit Group.</w:t>
      </w:r>
    </w:p>
    <w:p>
      <w:pPr>
        <w:pStyle w:val="BodyTextIndent"/>
        <w:rPr/>
      </w:pPr>
      <w:r>
        <w:rPr/>
      </w:r>
    </w:p>
    <w:p>
      <w:pPr>
        <w:pStyle w:val="BodyTextIndent"/>
        <w:ind w:hanging="0" w:start="0" w:end="0"/>
        <w:rPr/>
      </w:pPr>
      <w:r>
        <w:rPr/>
        <w:t>1982 to 1996 – Jackson &amp; Walker, L.L.P. (formerly Dotson, Babcock &amp; Scofield, formerly Foreman &amp; Dyess)</w:t>
      </w:r>
    </w:p>
    <w:p>
      <w:pPr>
        <w:pStyle w:val="BodyTextIndent"/>
        <w:ind w:hanging="0" w:start="0" w:end="0"/>
        <w:rPr/>
      </w:pPr>
      <w:r>
        <w:rPr/>
      </w:r>
    </w:p>
    <w:p>
      <w:pPr>
        <w:pStyle w:val="BodyTextIndent"/>
        <w:ind w:start="792" w:end="0"/>
        <w:jc w:val="both"/>
        <w:rPr/>
      </w:pPr>
      <w:r>
        <w:rPr/>
        <w:t>Job Description:</w:t>
        <w:tab/>
        <w:t>Legal Assistant in the Energy Lending Section.  Duties included preparation of loan documentation, e.g. loan agreements, promissory notes, security agreements, guaranty agreements, deeds of trust, Louisiana collateral documentation, etc.; preparation of property descriptions; requesting UCC search reports, certificates of good standing and existence; attendance at closings; preparation of closing binders and transmittal of documentation for filing and recordation; extensive client contact.</w:t>
      </w:r>
    </w:p>
    <w:p>
      <w:pPr>
        <w:pStyle w:val="BodyTextIndent"/>
        <w:rPr/>
      </w:pPr>
      <w:r>
        <w:rPr/>
      </w:r>
    </w:p>
    <w:p>
      <w:pPr>
        <w:pStyle w:val="BodyTextIndent"/>
        <w:ind w:hanging="0" w:start="0" w:end="0"/>
        <w:rPr/>
      </w:pPr>
      <w:r>
        <w:rPr/>
        <w:t>1976-1981 – Foreman &amp; Dyess</w:t>
      </w:r>
    </w:p>
    <w:p>
      <w:pPr>
        <w:pStyle w:val="BodyTextIndent"/>
        <w:ind w:hanging="0" w:start="0" w:end="0"/>
        <w:rPr/>
      </w:pPr>
      <w:r>
        <w:rPr/>
      </w:r>
    </w:p>
    <w:p>
      <w:pPr>
        <w:pStyle w:val="BodyTextIndent"/>
        <w:ind w:start="792" w:end="0"/>
        <w:jc w:val="both"/>
        <w:rPr/>
      </w:pPr>
      <w:r>
        <w:rPr/>
        <w:t>Job Description:</w:t>
        <w:tab/>
        <w:t>Legal Secretary for attorneys in Oil and Gas Department – general secretarial duties.  November, 1981 position changed to that of Legal Assistant.</w:t>
      </w:r>
    </w:p>
    <w:p>
      <w:pPr>
        <w:pStyle w:val="BodyTextIndent"/>
        <w:rPr/>
      </w:pPr>
      <w:r>
        <w:rPr/>
      </w:r>
    </w:p>
    <w:p>
      <w:pPr>
        <w:pStyle w:val="BodyTextIndent"/>
        <w:ind w:hanging="0" w:start="0" w:end="0"/>
        <w:rPr/>
      </w:pPr>
      <w:r>
        <w:rPr/>
        <w:t>1974-1976 – Eugene T. Jenson, County Attorney, Chambers County, Texas</w:t>
      </w:r>
    </w:p>
    <w:p>
      <w:pPr>
        <w:pStyle w:val="BodyTextIndent"/>
        <w:ind w:hanging="0" w:start="0" w:end="0"/>
        <w:jc w:val="both"/>
        <w:rPr/>
      </w:pPr>
      <w:r>
        <w:rPr/>
      </w:r>
    </w:p>
    <w:p>
      <w:pPr>
        <w:pStyle w:val="BodyTextIndent"/>
        <w:ind w:start="792" w:end="0"/>
        <w:jc w:val="both"/>
        <w:rPr/>
      </w:pPr>
      <w:r>
        <w:rPr/>
        <w:t>Job Description:</w:t>
        <w:tab/>
        <w:t>Assisted County Attorney in County Criminal Court matters, e.g., filed complaints and informations, set docket call and prepared notification letters; prepared judgments and dismissals; attended court to assist County Attorney.</w:t>
      </w:r>
    </w:p>
    <w:p>
      <w:pPr>
        <w:pStyle w:val="BodyTextIndent"/>
        <w:rPr/>
      </w:pPr>
      <w:r>
        <w:rPr/>
      </w:r>
    </w:p>
    <w:p>
      <w:pPr>
        <w:pStyle w:val="BodyTextIndent"/>
        <w:jc w:val="center"/>
        <w:rPr>
          <w:u w:val="single"/>
        </w:rPr>
      </w:pPr>
      <w:r>
        <w:rPr>
          <w:u w:val="single"/>
        </w:rPr>
        <w:t>EDUCATION</w:t>
      </w:r>
    </w:p>
    <w:p>
      <w:pPr>
        <w:pStyle w:val="BodyTextIndent"/>
        <w:jc w:val="center"/>
        <w:rPr>
          <w:u w:val="single"/>
        </w:rPr>
      </w:pPr>
      <w:r>
        <w:rPr>
          <w:u w:val="single"/>
        </w:rPr>
      </w:r>
    </w:p>
    <w:p>
      <w:pPr>
        <w:pStyle w:val="BodyTextIndent"/>
        <w:ind w:hanging="0" w:start="0" w:end="0"/>
        <w:rPr/>
      </w:pPr>
      <w:r>
        <w:rPr/>
        <w:t>Anahuac High School, Anahuac, Texas – Graduated 1973.</w:t>
      </w:r>
    </w:p>
    <w:p>
      <w:pPr>
        <w:pStyle w:val="BodyTextIndent"/>
        <w:ind w:hanging="0" w:start="0" w:end="0"/>
        <w:rPr/>
      </w:pPr>
      <w:r>
        <w:rPr/>
      </w:r>
    </w:p>
    <w:p>
      <w:pPr>
        <w:pStyle w:val="BodyTextIndent"/>
        <w:ind w:hanging="0" w:start="0" w:end="0"/>
        <w:rPr/>
      </w:pPr>
      <w:r>
        <w:rPr/>
        <w:t>Lee College, Baytown, Texas – 1973-1975.</w:t>
      </w:r>
    </w:p>
    <w:p>
      <w:pPr>
        <w:pStyle w:val="BodyTextIndent"/>
        <w:ind w:hanging="0" w:start="0" w:end="0"/>
        <w:rPr/>
      </w:pPr>
      <w:r>
        <w:rPr/>
      </w:r>
    </w:p>
    <w:p>
      <w:pPr>
        <w:pStyle w:val="BodyTextIndent"/>
        <w:ind w:hanging="0" w:start="0" w:end="0"/>
        <w:rPr/>
      </w:pPr>
      <w:r>
        <w:rPr/>
        <w:t>Technical Skills:</w:t>
        <w:tab/>
        <w:t>Microsoft Word 7.0, Lotus Notes, Wordperfect 6.0</w:t>
      </w:r>
    </w:p>
    <w:p>
      <w:pPr>
        <w:pStyle w:val="BodyTextIndent"/>
        <w:ind w:hanging="0" w:start="0" w:end="0"/>
        <w:rPr/>
      </w:pPr>
      <w:r>
        <w:rPr/>
      </w:r>
    </w:p>
    <w:p>
      <w:pPr>
        <w:pStyle w:val="BodyTextIndent"/>
        <w:ind w:hanging="0" w:start="0" w:end="0"/>
        <w:rPr/>
      </w:pPr>
      <w:r>
        <w:rPr/>
        <w:t>References furnished upon request.</w:t>
      </w:r>
    </w:p>
    <w:sectPr>
      <w:type w:val="nextPage"/>
      <w:pgSz w:w="12240" w:h="15840"/>
      <w:pgMar w:left="1800" w:right="1080" w:gutter="0" w:header="0" w:top="36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2001-03-26T13:30:00Z</dcterms:created>
  <dc:creator>Anne Heard</dc:creator>
  <dc:description/>
  <dc:language>en-CA</dc:language>
  <cp:lastModifiedBy>mmagee</cp:lastModifiedBy>
  <cp:lastPrinted>2000-03-07T19:23:00Z</cp:lastPrinted>
  <dcterms:modified xsi:type="dcterms:W3CDTF">2001-03-26T13:30:00Z</dcterms:modified>
  <cp:revision>2</cp:revision>
  <dc:subject/>
  <dc:title>MARIE HEARD</dc:title>
</cp:coreProperties>
</file>