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936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Heading9"/>
        <w:ind w:hanging="0" w:start="0"/>
        <w:rPr/>
      </w:pPr>
      <w:r>
        <w:rPr/>
        <w:t>MARGIN AGREEMENT</w:t>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BodyText"/>
        <w:rPr/>
      </w:pPr>
      <w:r>
        <w:fldChar w:fldCharType="begin"/>
      </w:r>
      <w:r>
        <w:rPr>
          <w:sz w:val="22"/>
        </w:rPr>
        <w:instrText xml:space="preserve">ADVANCE \R 36.0</w:instrText>
      </w:r>
      <w:r>
        <w:rPr>
          <w:sz w:val="22"/>
        </w:rPr>
      </w:r>
      <w:r>
        <w:rPr>
          <w:sz w:val="22"/>
        </w:rPr>
        <w:fldChar w:fldCharType="separate"/>
      </w:r>
      <w:r>
        <w:rPr>
          <w:sz w:val="22"/>
        </w:rPr>
      </w:r>
      <w:r>
        <w:rPr>
          <w:sz w:val="22"/>
        </w:rPr>
      </w:r>
      <w:r>
        <w:rPr>
          <w:sz w:val="22"/>
        </w:rPr>
        <w:fldChar w:fldCharType="end"/>
      </w:r>
      <w:r>
        <w:rPr>
          <w:sz w:val="22"/>
        </w:rPr>
        <w:t>This Margin Agreement ("Margin Agreement") is entered into as of _________(the "Effective Date") between PacifiCorp, an Oregon corporation ("PPW"), and _________(each individually a "Party", or collectively the "Parties").  This Margin Agreement supplements and forms part of each and every transaction between the Parties, including but not limited to any and all Transactions entered into between the Parties pursuant to the Master Power Purchase and Sale Agreement between the Parties dated_____________and any other deals entered into between the Parties hereafter (collectively, the “Agreements”).</w:t>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BodyText"/>
        <w:tabs>
          <w:tab w:val="clear" w:pos="720"/>
          <w:tab w:val="left" w:pos="-720" w:leader="none"/>
        </w:tabs>
        <w:rPr>
          <w:sz w:val="22"/>
        </w:rPr>
      </w:pPr>
      <w:r>
        <w:rPr>
          <w:sz w:val="22"/>
        </w:rPr>
        <w:tab/>
        <w:t>1.</w:t>
        <w:tab/>
        <w:t xml:space="preserve">All capitalized terms that are used in this Margin Agreement, but not defined herein, shall have the respective meanings assigned thereto in the Agreements.  For purposes of this Margin Agreement, the following terms have the respective meanings set forth below: </w:t>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numPr>
          <w:ilvl w:val="0"/>
          <w:numId w:val="4"/>
        </w:numPr>
        <w:tabs>
          <w:tab w:val="clear" w:pos="720"/>
          <w:tab w:val="left" w:pos="-720" w:leader="none"/>
          <w:tab w:val="left" w:pos="0" w:leader="none"/>
        </w:tabs>
        <w:suppressAutoHyphens w:val="true"/>
        <w:ind w:firstLine="1440" w:start="0" w:end="0"/>
        <w:jc w:val="both"/>
        <w:rPr>
          <w:rFonts w:ascii="Times New Roman" w:hAnsi="Times New Roman" w:cs="Times New Roman"/>
          <w:spacing w:val="-2"/>
          <w:sz w:val="22"/>
        </w:rPr>
      </w:pPr>
      <w:r>
        <w:rPr>
          <w:rFonts w:cs="Times New Roman" w:ascii="Times New Roman" w:hAnsi="Times New Roman"/>
          <w:spacing w:val="-2"/>
          <w:sz w:val="22"/>
        </w:rPr>
        <w:t xml:space="preserve">"Contract Value" shall mean, with respect to a Forward Contract entered into under the Agreements, an amount equal to the product of (i) the amount of energy and/or capacity or, if the Forward Contract has been partially performed, the outstanding portion of the energy and/or capacity, and (ii) the price; </w:t>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tab/>
        <w:tab/>
        <w:t xml:space="preserve">(b) </w:t>
        <w:tab/>
        <w:t>“Credit Rating” shall mean, with respect to a Party or entity on any date of determination, the respective rating then assigned to its senior, unsecured long term debt or, in the event no such rating exists, its then current corporate rating, by Standard and Poor’s Rating Services, or its successor (“S&amp;P”), or Moody’s Investor Service, Inc., or its successor (“Moody’s”), or other specified rating agency agreed to in writing by the Parties;</w:t>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tab/>
        <w:tab/>
        <w:t>(c)</w:t>
        <w:tab/>
        <w:t xml:space="preserve">"Exposed Party" shall mean a Party that, as of any Business Day, has a Net Exposure, as that term is defined in Section 2(b) hereof;  </w:t>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tab/>
        <w:tab/>
        <w:t>(d)</w:t>
        <w:tab/>
        <w:t>"Forward Contract" shall mean any contract between PPW and ______for the purchase and sale of energy and/or capacity for delivery more than one (1) day after the contract is entered into;</w:t>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numPr>
          <w:ilvl w:val="0"/>
          <w:numId w:val="5"/>
        </w:numPr>
        <w:tabs>
          <w:tab w:val="clear" w:pos="720"/>
          <w:tab w:val="left" w:pos="-720" w:leader="none"/>
          <w:tab w:val="left" w:pos="0" w:leader="none"/>
        </w:tabs>
        <w:suppressAutoHyphens w:val="true"/>
        <w:ind w:firstLine="1440" w:start="0" w:end="0"/>
        <w:jc w:val="both"/>
        <w:rPr>
          <w:rFonts w:ascii="Times New Roman" w:hAnsi="Times New Roman" w:cs="Times New Roman"/>
          <w:spacing w:val="-2"/>
          <w:sz w:val="22"/>
        </w:rPr>
      </w:pPr>
      <w:r>
        <w:rPr>
          <w:rFonts w:cs="Times New Roman" w:ascii="Times New Roman" w:hAnsi="Times New Roman"/>
          <w:spacing w:val="-2"/>
          <w:sz w:val="22"/>
        </w:rPr>
        <w:t>"Margin" shall mean any of the following: (i) cash, (ii) a parent guarantee acceptable to the requesting Party, (iii) letters of credit from a bank and in a form acceptable to the receiving Party and (iv) any other mutually acceptable collateral.  Margin shall include any payments or other distributions received with respect to any of the aforesaid Margin;</w:t>
      </w:r>
    </w:p>
    <w:p>
      <w:pPr>
        <w:pStyle w:val="Normal"/>
        <w:tabs>
          <w:tab w:val="clear" w:pos="720"/>
          <w:tab w:val="left" w:pos="-720" w:leader="none"/>
        </w:tabs>
        <w:suppressAutoHyphens w:val="true"/>
        <w:ind w:start="1440" w:end="0"/>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tab/>
        <w:tab/>
        <w:t>(f)</w:t>
        <w:tab/>
        <w:t>"Market Value" of a Forward Contract at any time shall mean an amount equal to the product of the quantity of energy and/or capacity subject to such Forward Contract that has not been delivered multiplied by the then current market price as determined by the Exposed Party in a commercially reasonable manner;</w:t>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numPr>
          <w:ilvl w:val="0"/>
          <w:numId w:val="6"/>
        </w:numPr>
        <w:tabs>
          <w:tab w:val="clear" w:pos="720"/>
          <w:tab w:val="left" w:pos="-720" w:leader="none"/>
          <w:tab w:val="left" w:pos="0" w:leader="none"/>
        </w:tabs>
        <w:suppressAutoHyphens w:val="true"/>
        <w:ind w:firstLine="1440" w:start="0" w:end="0"/>
        <w:jc w:val="both"/>
        <w:rPr>
          <w:rFonts w:ascii="Times New Roman" w:hAnsi="Times New Roman" w:cs="Times New Roman"/>
          <w:spacing w:val="-2"/>
          <w:sz w:val="22"/>
        </w:rPr>
      </w:pPr>
      <w:r>
        <w:rPr>
          <w:rFonts w:cs="Times New Roman" w:ascii="Times New Roman" w:hAnsi="Times New Roman"/>
          <w:spacing w:val="-2"/>
          <w:sz w:val="22"/>
        </w:rPr>
        <w:t xml:space="preserve">"Non-Exposed Party" shall mean a Party that as of any Business Day, does not have a Net Exposure, as that term is defined in Section 2(b) hereof; </w:t>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BodyText"/>
        <w:numPr>
          <w:ilvl w:val="0"/>
          <w:numId w:val="6"/>
        </w:numPr>
        <w:tabs>
          <w:tab w:val="clear" w:pos="720"/>
          <w:tab w:val="left" w:pos="-720" w:leader="none"/>
          <w:tab w:val="left" w:pos="-90" w:leader="none"/>
        </w:tabs>
        <w:ind w:firstLine="1440" w:start="0" w:end="0"/>
        <w:rPr>
          <w:sz w:val="22"/>
        </w:rPr>
      </w:pPr>
      <w:r>
        <w:rPr>
          <w:sz w:val="22"/>
        </w:rPr>
        <w:t>“</w:t>
      </w:r>
      <w:r>
        <w:rPr>
          <w:sz w:val="22"/>
        </w:rPr>
        <w:t>Threshold Amount" shall mean, as to each party, the amount set forth below opposite the Rating Level of such Party’s senior unsecured long term debt (the “Debt”) in effect as of the close of business on the day such Threshold Amount is being determined:</w:t>
      </w:r>
    </w:p>
    <w:p>
      <w:pPr>
        <w:pStyle w:val="BodyText"/>
        <w:tabs>
          <w:tab w:val="clear" w:pos="720"/>
          <w:tab w:val="left" w:pos="-720" w:leader="none"/>
        </w:tabs>
        <w:ind w:start="1440" w:end="0"/>
        <w:rPr>
          <w:sz w:val="22"/>
        </w:rPr>
      </w:pPr>
      <w:r>
        <w:rPr>
          <w:sz w:val="22"/>
        </w:rPr>
      </w:r>
    </w:p>
    <w:p>
      <w:pPr>
        <w:pStyle w:val="BodyText"/>
        <w:tabs>
          <w:tab w:val="clear" w:pos="720"/>
          <w:tab w:val="left" w:pos="-720" w:leader="none"/>
        </w:tabs>
        <w:ind w:start="1440" w:end="0"/>
        <w:rPr>
          <w:sz w:val="22"/>
          <w:u w:val="single"/>
        </w:rPr>
      </w:pPr>
      <w:r>
        <w:rPr>
          <w:sz w:val="22"/>
          <w:u w:val="single"/>
        </w:rPr>
        <w:t>Rating Level</w:t>
      </w:r>
      <w:r>
        <w:rPr>
          <w:sz w:val="22"/>
        </w:rPr>
        <w:tab/>
        <w:tab/>
        <w:tab/>
      </w:r>
      <w:r>
        <w:rPr>
          <w:sz w:val="22"/>
          <w:u w:val="single"/>
        </w:rPr>
        <w:t>Threshold Amount</w:t>
      </w:r>
      <w:r>
        <w:rPr>
          <w:sz w:val="22"/>
        </w:rPr>
        <w:tab/>
        <w:tab/>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tab/>
        <w:tab/>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tab/>
        <w:tab/>
        <w:t>Level 1</w:t>
        <w:tab/>
        <w:tab/>
        <w:tab/>
        <w:tab/>
        <w:t>$85,000,000</w:t>
        <w:tab/>
        <w:tab/>
        <w:tab/>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tab/>
        <w:tab/>
        <w:t>Level 2</w:t>
        <w:tab/>
        <w:tab/>
        <w:tab/>
        <w:tab/>
        <w:t>$75,000,000</w:t>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tab/>
        <w:tab/>
        <w:t>Level 3</w:t>
        <w:tab/>
        <w:tab/>
        <w:tab/>
        <w:tab/>
        <w:t>$25,000,000</w:t>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tab/>
        <w:tab/>
        <w:t>Level 4</w:t>
        <w:tab/>
        <w:tab/>
        <w:tab/>
        <w:tab/>
        <w:t>$10,000,000</w:t>
      </w:r>
    </w:p>
    <w:p>
      <w:pPr>
        <w:pStyle w:val="Normal"/>
        <w:tabs>
          <w:tab w:val="clear" w:pos="720"/>
          <w:tab w:val="left" w:pos="-720" w:leader="none"/>
        </w:tabs>
        <w:suppressAutoHyphens w:val="true"/>
        <w:jc w:val="both"/>
        <w:rPr/>
      </w:pPr>
      <w:r>
        <w:rPr>
          <w:rFonts w:cs="Times New Roman" w:ascii="Times New Roman" w:hAnsi="Times New Roman"/>
          <w:spacing w:val="-2"/>
          <w:sz w:val="22"/>
        </w:rPr>
        <w:tab/>
        <w:tab/>
        <w:t>Level 5</w:t>
        <w:tab/>
        <w:tab/>
        <w:tab/>
        <w:tab/>
        <w:t>$ 0</w:t>
        <w:tab/>
      </w:r>
      <w:r>
        <w:rPr>
          <w:rFonts w:cs="Times New Roman" w:ascii="Times New Roman" w:hAnsi="Times New Roman"/>
          <w:b/>
          <w:sz w:val="22"/>
        </w:rPr>
        <w:t xml:space="preserve">  </w:t>
      </w:r>
      <w:r>
        <w:rPr>
          <w:rFonts w:cs="Times New Roman" w:ascii="Times New Roman" w:hAnsi="Times New Roman"/>
          <w:sz w:val="22"/>
        </w:rPr>
        <w:t xml:space="preserve"> </w:t>
      </w:r>
      <w:r>
        <w:rPr>
          <w:rFonts w:cs="Times New Roman" w:ascii="Times New Roman" w:hAnsi="Times New Roman"/>
          <w:spacing w:val="-2"/>
          <w:sz w:val="22"/>
        </w:rPr>
        <w:t xml:space="preserve">  </w:t>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tab/>
        <w:tab/>
        <w:tab/>
        <w:t>For the purpose of the foregoing table, the following terms will apply:</w:t>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clear" w:pos="720"/>
          <w:tab w:val="left" w:pos="-720" w:leader="none"/>
        </w:tabs>
        <w:suppressAutoHyphens w:val="true"/>
        <w:ind w:start="2160" w:end="0"/>
        <w:jc w:val="both"/>
        <w:rPr>
          <w:rFonts w:ascii="Times New Roman" w:hAnsi="Times New Roman" w:cs="Times New Roman"/>
          <w:spacing w:val="-2"/>
          <w:sz w:val="22"/>
        </w:rPr>
      </w:pPr>
      <w:r>
        <w:rPr>
          <w:rFonts w:cs="Times New Roman" w:ascii="Times New Roman" w:hAnsi="Times New Roman"/>
          <w:spacing w:val="-2"/>
          <w:sz w:val="22"/>
        </w:rPr>
        <w:t>“</w:t>
      </w:r>
      <w:r>
        <w:rPr>
          <w:rFonts w:cs="Times New Roman" w:ascii="Times New Roman" w:hAnsi="Times New Roman"/>
          <w:spacing w:val="-2"/>
          <w:sz w:val="22"/>
        </w:rPr>
        <w:t>Level 1” applies if the Debt is rated A- or higher by S&amp;P and A3 or higher by Moody’.</w:t>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clear" w:pos="720"/>
          <w:tab w:val="left" w:pos="-720" w:leader="none"/>
        </w:tabs>
        <w:suppressAutoHyphens w:val="true"/>
        <w:ind w:start="2160" w:end="0"/>
        <w:jc w:val="both"/>
        <w:rPr>
          <w:rFonts w:ascii="Times New Roman" w:hAnsi="Times New Roman" w:cs="Times New Roman"/>
          <w:spacing w:val="-2"/>
          <w:sz w:val="22"/>
        </w:rPr>
      </w:pPr>
      <w:r>
        <w:rPr>
          <w:rFonts w:cs="Times New Roman" w:ascii="Times New Roman" w:hAnsi="Times New Roman"/>
          <w:spacing w:val="-2"/>
          <w:sz w:val="22"/>
        </w:rPr>
        <w:t>“</w:t>
      </w:r>
      <w:r>
        <w:rPr>
          <w:rFonts w:cs="Times New Roman" w:ascii="Times New Roman" w:hAnsi="Times New Roman"/>
          <w:spacing w:val="-2"/>
          <w:sz w:val="22"/>
        </w:rPr>
        <w:t>Level 2” applies if the Level 1 does not apply and the Debt is rated BBB+ or higher by S&amp;P and Baa1 or higher by Moody’s.</w:t>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clear" w:pos="720"/>
          <w:tab w:val="left" w:pos="-720" w:leader="none"/>
        </w:tabs>
        <w:suppressAutoHyphens w:val="true"/>
        <w:ind w:start="2160" w:end="0"/>
        <w:jc w:val="both"/>
        <w:rPr>
          <w:rFonts w:ascii="Times New Roman" w:hAnsi="Times New Roman" w:cs="Times New Roman"/>
          <w:spacing w:val="-2"/>
          <w:sz w:val="22"/>
        </w:rPr>
      </w:pPr>
      <w:r>
        <w:rPr>
          <w:rFonts w:cs="Times New Roman" w:ascii="Times New Roman" w:hAnsi="Times New Roman"/>
          <w:spacing w:val="-2"/>
          <w:sz w:val="22"/>
        </w:rPr>
        <w:t>“</w:t>
      </w:r>
      <w:r>
        <w:rPr>
          <w:rFonts w:cs="Times New Roman" w:ascii="Times New Roman" w:hAnsi="Times New Roman"/>
          <w:spacing w:val="-2"/>
          <w:sz w:val="22"/>
        </w:rPr>
        <w:t>Level 3” applies if Levels 1 and 2 do not apply and the Debt is rated BBB or higher by S&amp;P and Baa2 or higher by Moody’s.</w:t>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clear" w:pos="720"/>
          <w:tab w:val="left" w:pos="-720" w:leader="none"/>
        </w:tabs>
        <w:suppressAutoHyphens w:val="true"/>
        <w:ind w:start="2160" w:end="0"/>
        <w:jc w:val="both"/>
        <w:rPr>
          <w:rFonts w:ascii="Times New Roman" w:hAnsi="Times New Roman" w:cs="Times New Roman"/>
          <w:spacing w:val="-2"/>
          <w:sz w:val="22"/>
        </w:rPr>
      </w:pPr>
      <w:r>
        <w:rPr>
          <w:rFonts w:cs="Times New Roman" w:ascii="Times New Roman" w:hAnsi="Times New Roman"/>
          <w:spacing w:val="-2"/>
          <w:sz w:val="22"/>
        </w:rPr>
        <w:t>“</w:t>
      </w:r>
      <w:r>
        <w:rPr>
          <w:rFonts w:cs="Times New Roman" w:ascii="Times New Roman" w:hAnsi="Times New Roman"/>
          <w:spacing w:val="-2"/>
          <w:sz w:val="22"/>
        </w:rPr>
        <w:t>Level 4” applies if Levels 1, 2 and 3 do not apply and the Debt is rated BBB- or higher by S&amp;P and Baa3 or higher by Moody’s.</w:t>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tab/>
        <w:tab/>
        <w:tab/>
        <w:t>“Level 5” applies if Levels 1, 2, 3 and 4 do not apply.</w:t>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tab/>
        <w:t>2.</w:t>
        <w:tab/>
        <w:t xml:space="preserve">As of the close of business on each Business Day, the Exposed Party shall determine the following: </w:t>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tab/>
        <w:tab/>
        <w:t>(a)</w:t>
        <w:tab/>
        <w:t>The "Exposure" (if any) of each Party, which shall be the sum of:</w:t>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left" w:pos="-720" w:leader="none"/>
          <w:tab w:val="left" w:pos="0" w:leader="none"/>
          <w:tab w:val="left" w:pos="720" w:leader="none"/>
          <w:tab w:val="left" w:pos="1440" w:leader="none"/>
          <w:tab w:val="left" w:pos="2160" w:leader="none"/>
        </w:tabs>
        <w:suppressAutoHyphens w:val="true"/>
        <w:ind w:hanging="2880" w:start="2880" w:end="0"/>
        <w:jc w:val="both"/>
        <w:rPr/>
      </w:pPr>
      <w:r>
        <w:rPr>
          <w:rFonts w:cs="Times New Roman" w:ascii="Times New Roman" w:hAnsi="Times New Roman"/>
          <w:spacing w:val="-2"/>
          <w:sz w:val="22"/>
        </w:rPr>
        <w:tab/>
        <w:tab/>
        <w:tab/>
      </w:r>
      <w:r>
        <w:rPr>
          <w:rFonts w:cs="Times New Roman" w:ascii="Times New Roman" w:hAnsi="Times New Roman"/>
          <w:spacing w:val="-2"/>
          <w:sz w:val="22"/>
        </w:rPr>
        <w:fldChar w:fldCharType="begin"/>
      </w:r>
      <w:r>
        <w:rPr>
          <w:sz w:val="22"/>
          <w:spacing w:val="-2"/>
          <w:rFonts w:cs="Times New Roman" w:ascii="Times New Roman" w:hAnsi="Times New Roman"/>
        </w:rPr>
        <w:instrText xml:space="preserve"> SEQ level2 \* ARABIC </w:instrText>
      </w:r>
      <w:r>
        <w:rPr>
          <w:sz w:val="22"/>
          <w:spacing w:val="-2"/>
          <w:rFonts w:cs="Times New Roman" w:ascii="Times New Roman" w:hAnsi="Times New Roman"/>
        </w:rPr>
        <w:fldChar w:fldCharType="separate"/>
      </w:r>
      <w:r>
        <w:rPr>
          <w:sz w:val="22"/>
          <w:spacing w:val="-2"/>
          <w:rFonts w:cs="Times New Roman" w:ascii="Times New Roman" w:hAnsi="Times New Roman"/>
        </w:rPr>
        <w:t>1</w:t>
      </w:r>
      <w:r>
        <w:rPr>
          <w:sz w:val="22"/>
          <w:spacing w:val="-2"/>
          <w:rFonts w:cs="Times New Roman" w:ascii="Times New Roman" w:hAnsi="Times New Roman"/>
        </w:rPr>
        <w:fldChar w:fldCharType="end"/>
      </w:r>
      <w:r>
        <w:rPr>
          <w:rFonts w:cs="Times New Roman" w:ascii="Times New Roman" w:hAnsi="Times New Roman"/>
          <w:spacing w:val="-2"/>
          <w:sz w:val="22"/>
        </w:rPr>
        <w:t>.</w:t>
        <w:tab/>
        <w:t>for all Forward Contracts entered into where the Party is to make delivery, the excess, if any, of the aggregate Contract Values of such contracts over the aggregate Market Values of such Forward Contracts; plus</w:t>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left" w:pos="-720" w:leader="none"/>
          <w:tab w:val="left" w:pos="0" w:leader="none"/>
          <w:tab w:val="left" w:pos="720" w:leader="none"/>
          <w:tab w:val="left" w:pos="1440" w:leader="none"/>
          <w:tab w:val="left" w:pos="2160" w:leader="none"/>
        </w:tabs>
        <w:suppressAutoHyphens w:val="true"/>
        <w:ind w:hanging="2880" w:start="2880" w:end="0"/>
        <w:jc w:val="both"/>
        <w:rPr/>
      </w:pPr>
      <w:r>
        <w:rPr>
          <w:rFonts w:cs="Times New Roman" w:ascii="Times New Roman" w:hAnsi="Times New Roman"/>
          <w:spacing w:val="-2"/>
          <w:sz w:val="22"/>
        </w:rPr>
        <w:tab/>
        <w:tab/>
        <w:tab/>
      </w:r>
      <w:r>
        <w:rPr>
          <w:rFonts w:cs="Times New Roman" w:ascii="Times New Roman" w:hAnsi="Times New Roman"/>
          <w:spacing w:val="-2"/>
          <w:sz w:val="22"/>
        </w:rPr>
        <w:fldChar w:fldCharType="begin"/>
      </w:r>
      <w:r>
        <w:rPr>
          <w:sz w:val="22"/>
          <w:spacing w:val="-2"/>
          <w:rFonts w:cs="Times New Roman" w:ascii="Times New Roman" w:hAnsi="Times New Roman"/>
        </w:rPr>
        <w:instrText xml:space="preserve"> SEQ level2 \* ARABIC </w:instrText>
      </w:r>
      <w:r>
        <w:rPr>
          <w:sz w:val="22"/>
          <w:spacing w:val="-2"/>
          <w:rFonts w:cs="Times New Roman" w:ascii="Times New Roman" w:hAnsi="Times New Roman"/>
        </w:rPr>
        <w:fldChar w:fldCharType="separate"/>
      </w:r>
      <w:r>
        <w:rPr>
          <w:sz w:val="22"/>
          <w:spacing w:val="-2"/>
          <w:rFonts w:cs="Times New Roman" w:ascii="Times New Roman" w:hAnsi="Times New Roman"/>
        </w:rPr>
        <w:t>2</w:t>
      </w:r>
      <w:r>
        <w:rPr>
          <w:sz w:val="22"/>
          <w:spacing w:val="-2"/>
          <w:rFonts w:cs="Times New Roman" w:ascii="Times New Roman" w:hAnsi="Times New Roman"/>
        </w:rPr>
        <w:fldChar w:fldCharType="end"/>
      </w:r>
      <w:r>
        <w:rPr>
          <w:rFonts w:cs="Times New Roman" w:ascii="Times New Roman" w:hAnsi="Times New Roman"/>
          <w:spacing w:val="-2"/>
          <w:sz w:val="22"/>
        </w:rPr>
        <w:t>.</w:t>
        <w:tab/>
        <w:t>for all Forward Contracts entered into where the Party is to receive delivery, the excess, if any, of the aggregate Market Values of such contracts over the aggregate Contract Values of such Forward Contracts; plus</w:t>
      </w:r>
    </w:p>
    <w:p>
      <w:pPr>
        <w:pStyle w:val="Normal"/>
        <w:tabs>
          <w:tab w:val="left" w:pos="-720" w:leader="none"/>
          <w:tab w:val="left" w:pos="0" w:leader="none"/>
          <w:tab w:val="left" w:pos="720" w:leader="none"/>
          <w:tab w:val="left" w:pos="1440" w:leader="none"/>
          <w:tab w:val="left" w:pos="2160" w:leader="none"/>
        </w:tabs>
        <w:suppressAutoHyphens w:val="true"/>
        <w:ind w:hanging="2880" w:start="2880" w:end="0"/>
        <w:jc w:val="both"/>
        <w:rPr>
          <w:rFonts w:ascii="Times New Roman" w:hAnsi="Times New Roman" w:cs="Times New Roman"/>
          <w:spacing w:val="-2"/>
          <w:sz w:val="22"/>
        </w:rPr>
      </w:pPr>
      <w:r>
        <w:rPr>
          <w:rFonts w:cs="Times New Roman" w:ascii="Times New Roman" w:hAnsi="Times New Roman"/>
          <w:spacing w:val="-2"/>
          <w:sz w:val="22"/>
        </w:rPr>
        <w:tab/>
        <w:tab/>
      </w:r>
    </w:p>
    <w:p>
      <w:pPr>
        <w:pStyle w:val="Normal"/>
        <w:numPr>
          <w:ilvl w:val="0"/>
          <w:numId w:val="3"/>
        </w:numPr>
        <w:tabs>
          <w:tab w:val="left" w:pos="-720" w:leader="none"/>
          <w:tab w:val="left" w:pos="0" w:leader="none"/>
          <w:tab w:val="left" w:pos="720" w:leader="none"/>
          <w:tab w:val="left" w:pos="1440" w:leader="none"/>
          <w:tab w:val="left" w:pos="216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t xml:space="preserve">the amount due and payable from the other Party on the date of such calculation or on a future date for deliveries made by such Party prior to the date of such calculation.  </w:t>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numPr>
          <w:ilvl w:val="0"/>
          <w:numId w:val="2"/>
        </w:numPr>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t>The "Net Exposure" (if any) of each Party, which shall be the excess (if any) of that Party's Exposure (if any) over the other Party's Exposure (if any).</w:t>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clear" w:pos="720"/>
          <w:tab w:val="left" w:pos="-720" w:leader="none"/>
        </w:tabs>
        <w:suppressAutoHyphens w:val="true"/>
        <w:ind w:hanging="2160" w:start="2160" w:end="0"/>
        <w:jc w:val="both"/>
        <w:rPr>
          <w:rFonts w:ascii="Times New Roman" w:hAnsi="Times New Roman" w:cs="Times New Roman"/>
          <w:spacing w:val="-2"/>
          <w:sz w:val="22"/>
        </w:rPr>
      </w:pPr>
      <w:r>
        <w:rPr>
          <w:rFonts w:cs="Times New Roman" w:ascii="Times New Roman" w:hAnsi="Times New Roman"/>
          <w:spacing w:val="-2"/>
          <w:sz w:val="22"/>
        </w:rPr>
        <w:tab/>
        <w:tab/>
        <w:t>(c)</w:t>
        <w:tab/>
        <w:t xml:space="preserve">Upon the request of the Non-Exposed Party, the Exposed Party shall provide its calculation of the Net Exposure with sufficient details for review. </w:t>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BodyText"/>
        <w:tabs>
          <w:tab w:val="clear" w:pos="720"/>
          <w:tab w:val="left" w:pos="-720" w:leader="none"/>
        </w:tabs>
        <w:rPr>
          <w:sz w:val="22"/>
        </w:rPr>
      </w:pPr>
      <w:r>
        <w:rPr>
          <w:sz w:val="22"/>
        </w:rPr>
        <w:tab/>
        <w:t>3.</w:t>
        <w:tab/>
        <w:t>If, as of any Business Day, the Exposed Party's Net Exposure is greater than the Non-Exposed Party’s Threshold Amount (the difference between the two amounts being referred to herein as the "Excess Amount"), then Margin shall be provided, upon the Exposed Party's request, in increments of $250,000, rounded up to the nearest such integral multiple of $250,000, so that as a result the Exposed Party holds Margin in an aggregate amount at least equal to the Excess Amount.  If, as of any Business Day, the aggregate amount of Margin held by the Exposed Party exceeds the Exposed Party's Excess Amount by an amount that is equal to or greater than $250,000, the Exposed Party shall, upon the Non-Exposed Party's request, return to the Non-Exposed Party Margin in increments of $250,000, rounded down to the nearest integral multiple of $250,000, such that after giving effect to any such return the Exposed Party holds Margin in an aggregate amount at least equal to its Excess Amount, provided, that if such Net Exposure is less than the Non-Exposed Party’s Threshold Amount, the Exposed Party shall, upon the Non-Exposed Party's request, return all Margin then held to the Non-Exposed Party.  If, as of any Business Day, a Party holding Margin no longer has a Net Exposure, it shall, upon the other Party's request, return all such Margin to the other Party.  For purposes of determining the amount of Margin being held at any time, the amount of non-cash Margin shall equal its then current fair market value as determined by the holding Party in a commercially reasonable manner.</w:t>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tab/>
        <w:t>4.</w:t>
        <w:tab/>
        <w:t>Non-cash Margin shall be delivered to the Exposed Party in accordance with their instructions; cash Margin shall be delivered to an account designated by the receiving Party.  All Margin shall be deposited (or returned) on the day of such request, if such request is received by 12:00 noon prevailing time of the Party’s office receiving such request on a Business Day; and if the request is received after 12:00 noon or such day is not a Business Day, Margin shall be deposited or returned on the next following Business Day.</w:t>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tab/>
        <w:t>5.</w:t>
        <w:tab/>
        <w:t>Each Party shall earn interest on the cash Margin it provides from and including the date of deposit to but excluding the date such Margin is returned at a rate per annum equal to the Federal Funds Rate as published by the Board of Governors of the Federal Reserve System in Federal Reserve statistical release H.15 (519) on the date of deposit or if no such rate is published for that day, then the preceding Business Day on which such rate is published.  Such interest shall be calculated on the basis of the actual number of days elapsed over a year of 365 days.  The net amount of interest due to either Party shall be remitted to that Party's Designated Account on the last Business Day of each calendar quarter so long as no default under the Agreements (a "Default") has occurred.  On and after the occurrence of a Default where the Party owed such interest is the Defaulting Party, the Non-Defaulting Party shall retain any such payments until all obligations of the first Party under the Agreements have been satisfied.</w:t>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tab/>
        <w:t>6.</w:t>
        <w:tab/>
        <w:t>Each Party shall have free and unrestricted use of all Margin provided to it hereunder.  Each Party may apply Margin on deposit with it pursuant to this Margin Agreement to satisfy the obligations of the other Party as part of a liquidation pursuant to the Agreements.</w:t>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tab/>
        <w:t>7.</w:t>
        <w:tab/>
        <w:t>Each Party may substitute any Margin deposited hereunder at any time so long as, immediately preceding such substitution, the other Party determines that the sum of the fair market value of the Margin to be held by it after such withdrawal or substitution will not be less than the sum of the amount required to be on deposit pursuant to this Margin Agreement; provided, however, that in the event of a Default, the defaulting Party must obtain the non-defaulting Party’s written consent prior to any substitution.</w:t>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tab/>
        <w:t>8.</w:t>
        <w:tab/>
        <w:t xml:space="preserve">As security for the payment of all amounts due or that may become due from one Party to the other under the Agreements, each Party hereby grants to the other Party a security interest in all Margin that may from time to time be provided to the other Party pursuant to this Margin Agreement, together with all payments thereon and proceeds thereof, and additions thereto and substitutions therefor. </w:t>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BodyText"/>
        <w:keepNext w:val="true"/>
        <w:keepLines/>
        <w:tabs>
          <w:tab w:val="clear" w:pos="720"/>
          <w:tab w:val="left" w:pos="-720" w:leader="none"/>
        </w:tabs>
        <w:rPr>
          <w:rFonts w:ascii="Times New Roman" w:hAnsi="Times New Roman" w:cs="Times New Roman"/>
          <w:spacing w:val="-2"/>
          <w:sz w:val="22"/>
        </w:rPr>
      </w:pPr>
      <w:r>
        <w:rPr>
          <w:rFonts w:cs="Times New Roman"/>
          <w:spacing w:val="-2"/>
          <w:sz w:val="22"/>
        </w:rPr>
      </w:r>
    </w:p>
    <w:p>
      <w:pPr>
        <w:pStyle w:val="BodyText"/>
        <w:rPr>
          <w:sz w:val="22"/>
        </w:rPr>
      </w:pPr>
      <w:r>
        <w:rPr>
          <w:sz w:val="22"/>
        </w:rPr>
        <w:t>The Parties have executed this Margin Agreement in multiple counterparts to be construed as one effective as of the date first written above.</w:t>
      </w:r>
    </w:p>
    <w:p>
      <w:pPr>
        <w:pStyle w:val="Normal"/>
        <w:tabs>
          <w:tab w:val="left" w:pos="720" w:leader="none"/>
          <w:tab w:val="left" w:pos="1440" w:leader="none"/>
          <w:tab w:val="left" w:pos="4320" w:leader="none"/>
          <w:tab w:val="left" w:pos="4860" w:leader="none"/>
          <w:tab w:val="left" w:pos="9000" w:leader="dot"/>
        </w:tabs>
        <w:ind w:start="3600" w:end="0"/>
        <w:jc w:val="both"/>
        <w:rPr>
          <w:sz w:val="22"/>
        </w:rPr>
      </w:pPr>
      <w:r>
        <w:rPr>
          <w:sz w:val="22"/>
        </w:rPr>
      </w:r>
    </w:p>
    <w:p>
      <w:pPr>
        <w:pStyle w:val="Normal"/>
        <w:tabs>
          <w:tab w:val="left" w:pos="720" w:leader="none"/>
          <w:tab w:val="left" w:pos="1440" w:leader="none"/>
          <w:tab w:val="left" w:pos="4320" w:leader="none"/>
          <w:tab w:val="left" w:pos="4860" w:leader="none"/>
          <w:tab w:val="left" w:pos="9000" w:leader="dot"/>
        </w:tabs>
        <w:jc w:val="both"/>
        <w:rPr>
          <w:rFonts w:ascii="Times New Roman" w:hAnsi="Times New Roman" w:cs="Times New Roman"/>
          <w:sz w:val="22"/>
        </w:rPr>
      </w:pPr>
      <w:r>
        <w:rPr>
          <w:rFonts w:cs="Times New Roman" w:ascii="Times New Roman" w:hAnsi="Times New Roman"/>
          <w:sz w:val="22"/>
        </w:rPr>
        <w:t>PACIFICORP</w:t>
        <w:tab/>
        <w:t xml:space="preserve"> </w:t>
        <w:tab/>
        <w:t>__________________________________</w:t>
      </w:r>
    </w:p>
    <w:p>
      <w:pPr>
        <w:pStyle w:val="Normal"/>
        <w:tabs>
          <w:tab w:val="left" w:pos="720" w:leader="none"/>
          <w:tab w:val="left" w:pos="1440" w:leader="none"/>
          <w:tab w:val="left" w:pos="4320" w:leader="none"/>
          <w:tab w:val="left" w:pos="4860" w:leader="none"/>
          <w:tab w:val="left" w:pos="9000" w:leader="dot"/>
        </w:tabs>
        <w:jc w:val="both"/>
        <w:rPr>
          <w:rFonts w:ascii="Times New Roman" w:hAnsi="Times New Roman" w:cs="Times New Roman"/>
          <w:sz w:val="22"/>
        </w:rPr>
      </w:pPr>
      <w:r>
        <w:rPr>
          <w:rFonts w:cs="Times New Roman" w:ascii="Times New Roman" w:hAnsi="Times New Roman"/>
          <w:sz w:val="22"/>
        </w:rPr>
        <w:tab/>
      </w:r>
    </w:p>
    <w:p>
      <w:pPr>
        <w:pStyle w:val="Normal"/>
        <w:tabs>
          <w:tab w:val="left" w:pos="720" w:leader="none"/>
          <w:tab w:val="left" w:pos="1440" w:leader="none"/>
          <w:tab w:val="left" w:pos="4320" w:leader="none"/>
          <w:tab w:val="left" w:pos="4860" w:leader="none"/>
          <w:tab w:val="left" w:pos="9000" w:leader="dot"/>
        </w:tabs>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 w:val="left" w:pos="1440" w:leader="none"/>
          <w:tab w:val="left" w:pos="4320" w:leader="none"/>
          <w:tab w:val="left" w:pos="4860" w:leader="none"/>
          <w:tab w:val="left" w:pos="9000" w:leader="dot"/>
        </w:tabs>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 w:val="left" w:pos="1440" w:leader="none"/>
          <w:tab w:val="left" w:pos="4320" w:leader="none"/>
          <w:tab w:val="left" w:pos="4860" w:leader="none"/>
          <w:tab w:val="left" w:pos="9000" w:leader="dot"/>
        </w:tabs>
        <w:jc w:val="both"/>
        <w:rPr>
          <w:rFonts w:ascii="Times New Roman" w:hAnsi="Times New Roman" w:cs="Times New Roman"/>
          <w:sz w:val="22"/>
        </w:rPr>
      </w:pPr>
      <w:r>
        <w:rPr>
          <w:rFonts w:cs="Times New Roman" w:ascii="Times New Roman" w:hAnsi="Times New Roman"/>
          <w:sz w:val="22"/>
        </w:rPr>
        <w:t>______________________________</w:t>
        <w:tab/>
        <w:t>__________________________________</w:t>
      </w:r>
    </w:p>
    <w:p>
      <w:pPr>
        <w:pStyle w:val="Normal"/>
        <w:tabs>
          <w:tab w:val="left" w:pos="720" w:leader="none"/>
          <w:tab w:val="left" w:pos="1440" w:leader="none"/>
          <w:tab w:val="left" w:pos="4320" w:leader="none"/>
          <w:tab w:val="left" w:pos="4860" w:leader="none"/>
          <w:tab w:val="left" w:pos="9000" w:leader="dot"/>
        </w:tabs>
        <w:jc w:val="both"/>
        <w:rPr>
          <w:rFonts w:ascii="Times New Roman" w:hAnsi="Times New Roman" w:cs="Times New Roman"/>
          <w:sz w:val="22"/>
        </w:rPr>
      </w:pPr>
      <w:r>
        <w:rPr>
          <w:rFonts w:cs="Times New Roman" w:ascii="Times New Roman" w:hAnsi="Times New Roman"/>
          <w:sz w:val="22"/>
        </w:rPr>
        <w:t>Name:</w:t>
        <w:tab/>
        <w:tab/>
        <w:tab/>
        <w:t xml:space="preserve">Name:  </w:t>
      </w:r>
    </w:p>
    <w:p>
      <w:pPr>
        <w:pStyle w:val="BodyText"/>
        <w:keepNext w:val="true"/>
        <w:keepLines/>
        <w:tabs>
          <w:tab w:val="clear" w:pos="720"/>
          <w:tab w:val="left" w:pos="-720" w:leader="none"/>
        </w:tabs>
        <w:rPr>
          <w:sz w:val="22"/>
        </w:rPr>
      </w:pPr>
      <w:r>
        <w:rPr>
          <w:sz w:val="22"/>
        </w:rPr>
        <w:t>Title:</w:t>
        <w:tab/>
        <w:tab/>
        <w:tab/>
        <w:tab/>
        <w:tab/>
        <w:tab/>
        <w:t xml:space="preserve">Title: </w:t>
        <w:tab/>
        <w:tab/>
        <w:t xml:space="preserve"> </w:t>
      </w:r>
    </w:p>
    <w:sectPr>
      <w:headerReference w:type="default" r:id="rId2"/>
      <w:headerReference w:type="first" r:id="rId3"/>
      <w:footerReference w:type="default" r:id="rId4"/>
      <w:footerReference w:type="first" r:id="rId5"/>
      <w:type w:val="nextPage"/>
      <w:pgSz w:w="12240" w:h="15840"/>
      <w:pgMar w:left="1440" w:right="1440" w:gutter="0" w:header="864" w:top="1440" w:footer="864" w:bottom="92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 w:name="Palace Script MT">
    <w:charset w:val="00" w:characterSet="windows-1252"/>
    <w:family w:val="script"/>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Times New Roman" w:hAnsi="Times New Roman" w:cs="Times New Roman"/>
      </w:rPr>
    </w:pPr>
    <w:r>
      <w:rPr>
        <w:rFonts w:cs="Times New Roman" w:ascii="Times New Roman" w:hAnsi="Times New Roman"/>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92075" cy="173990"/>
              <wp:effectExtent l="0" t="0" r="0" b="0"/>
              <wp:wrapSquare wrapText="bothSides"/>
              <wp:docPr id="1" name="Frame1"/>
              <a:graphic xmlns:a="http://schemas.openxmlformats.org/drawingml/2006/main">
                <a:graphicData uri="http://schemas.microsoft.com/office/word/2010/wordprocessingShape">
                  <wps:wsp>
                    <wps:cNvSpPr txBox="1"/>
                    <wps:spPr>
                      <a:xfrm>
                        <a:off x="0" y="0"/>
                        <a:ext cx="92075" cy="17399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25pt;height:13.7pt;mso-wrap-distance-left:0pt;mso-wrap-distance-right:0pt;mso-wrap-distance-top:0pt;mso-wrap-distance-bottom:0pt;margin-top:0.05pt;mso-position-vertical-relative:text;margin-left:230.4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p>
    <w:pPr>
      <w:pStyle w:val="Footer"/>
      <w:jc w:val="center"/>
      <w:rPr>
        <w:rStyle w:val="PageNumber"/>
        <w:rFonts w:ascii="Times New Roman" w:hAnsi="Times New Roman" w:cs="Times New Roman"/>
      </w:rPr>
    </w:pPr>
    <w:r>
      <w:rPr>
        <w:rFonts w:cs="Times New Roman" w:ascii="Times New Roman" w:hAnsi="Times New Roman"/>
      </w:rPr>
    </w:r>
  </w:p>
  <w:p>
    <w:pPr>
      <w:pStyle w:val="Footer"/>
      <w:jc w:val="center"/>
      <w:rPr>
        <w:rStyle w:val="PageNumber"/>
        <w:rFonts w:ascii="Times New Roman" w:hAnsi="Times New Roman" w:cs="Times New Roman"/>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rPr>
    </w:pPr>
    <w:r>
      <w:rPr>
        <w:rFonts w:cs="Times New Roman" w:ascii="Times New Roman" w:hAnsi="Times New Roman"/>
      </w:rPr>
    </w:r>
  </w:p>
  <w:p>
    <w:pPr>
      <w:pStyle w:val="Footer"/>
      <w:rPr>
        <w:rFonts w:ascii="Arial" w:hAnsi="Arial" w:cs="Arial"/>
        <w:sz w:val="16"/>
      </w:rPr>
    </w:pPr>
    <w:r>
      <w:rPr>
        <w:rFonts w:cs="Arial" w:ascii="Arial" w:hAnsi="Arial"/>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2"/>
      <w:numFmt w:val="lowerLetter"/>
      <w:lvlText w:val="(%1)"/>
      <w:lvlJc w:val="start"/>
      <w:pPr>
        <w:tabs>
          <w:tab w:val="num" w:pos="2160"/>
        </w:tabs>
        <w:ind w:start="2160" w:hanging="720"/>
      </w:pPr>
      <w:rPr/>
    </w:lvl>
  </w:abstractNum>
  <w:abstractNum w:abstractNumId="3">
    <w:lvl w:ilvl="0">
      <w:start w:val="3"/>
      <w:numFmt w:val="decimal"/>
      <w:lvlText w:val="%1."/>
      <w:lvlJc w:val="start"/>
      <w:pPr>
        <w:tabs>
          <w:tab w:val="num" w:pos="2880"/>
        </w:tabs>
        <w:ind w:start="2880" w:hanging="720"/>
      </w:pPr>
      <w:rPr/>
    </w:lvl>
  </w:abstractNum>
  <w:abstractNum w:abstractNumId="4">
    <w:lvl w:ilvl="0">
      <w:start w:val="1"/>
      <w:numFmt w:val="lowerLetter"/>
      <w:lvlText w:val="(%1)"/>
      <w:lvlJc w:val="start"/>
      <w:pPr>
        <w:tabs>
          <w:tab w:val="num" w:pos="2160"/>
        </w:tabs>
        <w:ind w:start="2160" w:hanging="720"/>
      </w:pPr>
      <w:rPr/>
    </w:lvl>
  </w:abstractNum>
  <w:abstractNum w:abstractNumId="5">
    <w:lvl w:ilvl="0">
      <w:start w:val="5"/>
      <w:numFmt w:val="lowerLetter"/>
      <w:lvlText w:val="(%1)"/>
      <w:lvlJc w:val="start"/>
      <w:pPr>
        <w:tabs>
          <w:tab w:val="num" w:pos="2160"/>
        </w:tabs>
        <w:ind w:start="2160" w:hanging="720"/>
      </w:pPr>
      <w:rPr/>
    </w:lvl>
  </w:abstractNum>
  <w:abstractNum w:abstractNumId="6">
    <w:lvl w:ilvl="0">
      <w:start w:val="7"/>
      <w:numFmt w:val="lowerLetter"/>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Courier New" w:hAnsi="Courier;Courier New" w:eastAsia="Times New Roman" w:cs="Courier;Courier New"/>
      <w:color w:val="auto"/>
      <w:sz w:val="24"/>
      <w:szCs w:val="20"/>
      <w:lang w:val="en-US" w:eastAsia="en-US" w:bidi="hi-IN"/>
    </w:rPr>
  </w:style>
  <w:style w:type="paragraph" w:styleId="Heading1">
    <w:name w:val="heading 1"/>
    <w:basedOn w:val="Normal"/>
    <w:next w:val="Normal"/>
    <w:qFormat/>
    <w:pPr>
      <w:outlineLvl w:val="0"/>
    </w:pPr>
    <w:rPr/>
  </w:style>
  <w:style w:type="paragraph" w:styleId="Heading2">
    <w:name w:val="heading 2"/>
    <w:basedOn w:val="Normal"/>
    <w:next w:val="Normal"/>
    <w:qFormat/>
    <w:pPr>
      <w:outlineLvl w:val="1"/>
    </w:pPr>
    <w:rPr/>
  </w:style>
  <w:style w:type="paragraph" w:styleId="Heading3">
    <w:name w:val="heading 3"/>
    <w:basedOn w:val="Normal"/>
    <w:next w:val="Normal"/>
    <w:qFormat/>
    <w:pPr>
      <w:outlineLvl w:val="2"/>
    </w:pPr>
    <w:rPr/>
  </w:style>
  <w:style w:type="paragraph" w:styleId="Heading4">
    <w:name w:val="heading 4"/>
    <w:basedOn w:val="Normal"/>
    <w:next w:val="Normal"/>
    <w:qFormat/>
    <w:pPr>
      <w:outlineLvl w:val="3"/>
    </w:pPr>
    <w:rPr/>
  </w:style>
  <w:style w:type="paragraph" w:styleId="Heading5">
    <w:name w:val="heading 5"/>
    <w:basedOn w:val="Normal"/>
    <w:next w:val="Normal"/>
    <w:qFormat/>
    <w:pPr>
      <w:outlineLvl w:val="4"/>
    </w:pPr>
    <w:rPr/>
  </w:style>
  <w:style w:type="paragraph" w:styleId="Heading6">
    <w:name w:val="heading 6"/>
    <w:basedOn w:val="Normal"/>
    <w:next w:val="Normal"/>
    <w:qFormat/>
    <w:pPr>
      <w:outlineLvl w:val="5"/>
    </w:pPr>
    <w:rPr/>
  </w:style>
  <w:style w:type="paragraph" w:styleId="Heading7">
    <w:name w:val="heading 7"/>
    <w:basedOn w:val="Normal"/>
    <w:next w:val="Normal"/>
    <w:qFormat/>
    <w:pPr>
      <w:outlineLvl w:val="6"/>
    </w:pPr>
    <w:rPr/>
  </w:style>
  <w:style w:type="paragraph" w:styleId="Heading8">
    <w:name w:val="heading 8"/>
    <w:basedOn w:val="Normal"/>
    <w:next w:val="Normal"/>
    <w:qFormat/>
    <w:pPr>
      <w:outlineLvl w:val="7"/>
    </w:pPr>
    <w:rPr/>
  </w:style>
  <w:style w:type="paragraph" w:styleId="Heading9">
    <w:name w:val="heading 9"/>
    <w:basedOn w:val="Normal"/>
    <w:next w:val="Normal"/>
    <w:qFormat/>
    <w:pPr>
      <w:keepNext w:val="true"/>
      <w:numPr>
        <w:ilvl w:val="8"/>
        <w:numId w:val="1"/>
      </w:numPr>
      <w:tabs>
        <w:tab w:val="clear" w:pos="720"/>
        <w:tab w:val="center" w:pos="4680" w:leader="none"/>
      </w:tabs>
      <w:suppressAutoHyphens w:val="true"/>
      <w:jc w:val="center"/>
      <w:outlineLvl w:val="8"/>
    </w:pPr>
    <w:rPr>
      <w:rFonts w:ascii="Times New Roman" w:hAnsi="Times New Roman" w:cs="Times New Roman"/>
      <w:b/>
      <w:spacing w:val="-2"/>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SmallLand">
    <w:name w:val="Small Land"/>
    <w:basedOn w:val="DefaultParagraphFont"/>
    <w:qFormat/>
    <w:rPr>
      <w:rFonts w:ascii="Arial Narrow" w:hAnsi="Arial Narrow" w:cs="Arial Narrow"/>
      <w:sz w:val="17"/>
      <w:lang w:val="en-US"/>
    </w:rPr>
  </w:style>
  <w:style w:type="character" w:styleId="Letterhead">
    <w:name w:val="Letterhead"/>
    <w:basedOn w:val="DefaultParagraphFont"/>
    <w:qFormat/>
    <w:rPr/>
  </w:style>
  <w:style w:type="character" w:styleId="LargeLand">
    <w:name w:val="Large Land"/>
    <w:basedOn w:val="DefaultParagraphFont"/>
    <w:qFormat/>
    <w:rPr>
      <w:rFonts w:ascii="Palace Script MT" w:hAnsi="Palace Script MT" w:cs="Palace Script MT"/>
      <w:sz w:val="20"/>
      <w:lang w:val="en-US"/>
    </w:rPr>
  </w:style>
  <w:style w:type="character" w:styleId="Personal">
    <w:name w:val="Personal"/>
    <w:basedOn w:val="DefaultParagraphFont"/>
    <w:qFormat/>
    <w:rPr>
      <w:rFonts w:ascii="Courier;Courier New" w:hAnsi="Courier;Courier New" w:cs="Courier;Courier New"/>
      <w:sz w:val="24"/>
      <w:lang w:val="en-US"/>
    </w:rPr>
  </w:style>
  <w:style w:type="character" w:styleId="Nametag">
    <w:name w:val="Nametag"/>
    <w:basedOn w:val="DefaultParagraphFont"/>
    <w:qFormat/>
    <w:rPr/>
  </w:style>
  <w:style w:type="character" w:styleId="Hedge">
    <w:name w:val="Hedge"/>
    <w:basedOn w:val="DefaultParagraphFont"/>
    <w:qFormat/>
    <w:rPr/>
  </w:style>
  <w:style w:type="character" w:styleId="Copyright">
    <w:name w:val="Copyright"/>
    <w:basedOn w:val="DefaultParagraphFont"/>
    <w:qFormat/>
    <w:rPr/>
  </w:style>
  <w:style w:type="character" w:styleId="Document8">
    <w:name w:val="Document 8"/>
    <w:basedOn w:val="DefaultParagraphFont"/>
    <w:qFormat/>
    <w:rPr/>
  </w:style>
  <w:style w:type="character" w:styleId="Document4">
    <w:name w:val="Document 4"/>
    <w:basedOn w:val="DefaultParagraphFont"/>
    <w:qFormat/>
    <w:rPr>
      <w:b/>
      <w:i/>
      <w:sz w:val="24"/>
    </w:rPr>
  </w:style>
  <w:style w:type="character" w:styleId="Document6">
    <w:name w:val="Document 6"/>
    <w:basedOn w:val="DefaultParagraphFont"/>
    <w:qFormat/>
    <w:rPr/>
  </w:style>
  <w:style w:type="character" w:styleId="Document5">
    <w:name w:val="Document 5"/>
    <w:basedOn w:val="DefaultParagraphFont"/>
    <w:qFormat/>
    <w:rPr/>
  </w:style>
  <w:style w:type="character" w:styleId="Document2">
    <w:name w:val="Document 2"/>
    <w:basedOn w:val="DefaultParagraphFont"/>
    <w:qFormat/>
    <w:rPr>
      <w:rFonts w:ascii="Courier;Courier New" w:hAnsi="Courier;Courier New" w:cs="Courier;Courier New"/>
      <w:sz w:val="24"/>
      <w:lang w:val="en-US"/>
    </w:rPr>
  </w:style>
  <w:style w:type="character" w:styleId="Document7">
    <w:name w:val="Document 7"/>
    <w:basedOn w:val="DefaultParagraphFont"/>
    <w:qFormat/>
    <w:rPr/>
  </w:style>
  <w:style w:type="character" w:styleId="Bibliogrphy">
    <w:name w:val="Bibliogrphy"/>
    <w:basedOn w:val="DefaultParagraphFont"/>
    <w:qFormat/>
    <w:rPr/>
  </w:style>
  <w:style w:type="character" w:styleId="RightPar1">
    <w:name w:val="Right Par 1"/>
    <w:basedOn w:val="DefaultParagraphFont"/>
    <w:qFormat/>
    <w:rPr/>
  </w:style>
  <w:style w:type="character" w:styleId="RightPar2">
    <w:name w:val="Right Par 2"/>
    <w:basedOn w:val="DefaultParagraphFont"/>
    <w:qFormat/>
    <w:rPr/>
  </w:style>
  <w:style w:type="character" w:styleId="Document3">
    <w:name w:val="Document 3"/>
    <w:basedOn w:val="DefaultParagraphFont"/>
    <w:qFormat/>
    <w:rPr>
      <w:rFonts w:ascii="Courier;Courier New" w:hAnsi="Courier;Courier New" w:cs="Courier;Courier New"/>
      <w:sz w:val="24"/>
      <w:lang w:val="en-US"/>
    </w:rPr>
  </w:style>
  <w:style w:type="character" w:styleId="RightPar3">
    <w:name w:val="Right Par 3"/>
    <w:basedOn w:val="DefaultParagraphFont"/>
    <w:qFormat/>
    <w:rPr/>
  </w:style>
  <w:style w:type="character" w:styleId="RightPar4">
    <w:name w:val="Right Par 4"/>
    <w:basedOn w:val="DefaultParagraphFont"/>
    <w:qFormat/>
    <w:rPr/>
  </w:style>
  <w:style w:type="character" w:styleId="RightPar5">
    <w:name w:val="Right Par 5"/>
    <w:basedOn w:val="DefaultParagraphFont"/>
    <w:qFormat/>
    <w:rPr/>
  </w:style>
  <w:style w:type="character" w:styleId="RightPar6">
    <w:name w:val="Right Par 6"/>
    <w:basedOn w:val="DefaultParagraphFont"/>
    <w:qFormat/>
    <w:rPr/>
  </w:style>
  <w:style w:type="character" w:styleId="RightPar7">
    <w:name w:val="Right Par 7"/>
    <w:basedOn w:val="DefaultParagraphFont"/>
    <w:qFormat/>
    <w:rPr/>
  </w:style>
  <w:style w:type="character" w:styleId="RightPar8">
    <w:name w:val="Right Par 8"/>
    <w:basedOn w:val="DefaultParagraphFont"/>
    <w:qFormat/>
    <w:rPr/>
  </w:style>
  <w:style w:type="character" w:styleId="TechInit">
    <w:name w:val="Tech Init"/>
    <w:basedOn w:val="DefaultParagraphFont"/>
    <w:qFormat/>
    <w:rPr>
      <w:rFonts w:ascii="Courier;Courier New" w:hAnsi="Courier;Courier New" w:cs="Courier;Courier New"/>
      <w:sz w:val="24"/>
      <w:lang w:val="en-US"/>
    </w:rPr>
  </w:style>
  <w:style w:type="character" w:styleId="Technical5">
    <w:name w:val="Technical 5"/>
    <w:basedOn w:val="DefaultParagraphFont"/>
    <w:qFormat/>
    <w:rPr/>
  </w:style>
  <w:style w:type="character" w:styleId="Technical6">
    <w:name w:val="Technical 6"/>
    <w:basedOn w:val="DefaultParagraphFont"/>
    <w:qFormat/>
    <w:rPr/>
  </w:style>
  <w:style w:type="character" w:styleId="Technical2">
    <w:name w:val="Technical 2"/>
    <w:basedOn w:val="DefaultParagraphFont"/>
    <w:qFormat/>
    <w:rPr>
      <w:rFonts w:ascii="Courier;Courier New" w:hAnsi="Courier;Courier New" w:cs="Courier;Courier New"/>
      <w:sz w:val="24"/>
      <w:lang w:val="en-US"/>
    </w:rPr>
  </w:style>
  <w:style w:type="character" w:styleId="Technical3">
    <w:name w:val="Technical 3"/>
    <w:basedOn w:val="DefaultParagraphFont"/>
    <w:qFormat/>
    <w:rPr>
      <w:rFonts w:ascii="Courier;Courier New" w:hAnsi="Courier;Courier New" w:cs="Courier;Courier New"/>
      <w:sz w:val="24"/>
      <w:lang w:val="en-US"/>
    </w:rPr>
  </w:style>
  <w:style w:type="character" w:styleId="Technical4">
    <w:name w:val="Technical 4"/>
    <w:basedOn w:val="DefaultParagraphFont"/>
    <w:qFormat/>
    <w:rPr/>
  </w:style>
  <w:style w:type="character" w:styleId="Technical1">
    <w:name w:val="Technical 1"/>
    <w:basedOn w:val="DefaultParagraphFont"/>
    <w:qFormat/>
    <w:rPr>
      <w:rFonts w:ascii="Courier;Courier New" w:hAnsi="Courier;Courier New" w:cs="Courier;Courier New"/>
      <w:sz w:val="24"/>
      <w:lang w:val="en-US"/>
    </w:rPr>
  </w:style>
  <w:style w:type="character" w:styleId="Technical7">
    <w:name w:val="Technical 7"/>
    <w:basedOn w:val="DefaultParagraphFont"/>
    <w:qFormat/>
    <w:rPr/>
  </w:style>
  <w:style w:type="character" w:styleId="Technical8">
    <w:name w:val="Technical 8"/>
    <w:basedOn w:val="DefaultParagraphFont"/>
    <w:qFormat/>
    <w:rPr/>
  </w:style>
  <w:style w:type="character" w:styleId="DocInit">
    <w:name w:val="Doc Init"/>
    <w:basedOn w:val="DefaultParagraphFont"/>
    <w:qFormat/>
    <w:rPr/>
  </w:style>
  <w:style w:type="character" w:styleId="WPHeading2">
    <w:name w:val="WP Heading 2"/>
    <w:basedOn w:val="DefaultParagraphFont"/>
    <w:qFormat/>
    <w:rPr>
      <w:sz w:val="29"/>
      <w:u w:val="single"/>
    </w:rPr>
  </w:style>
  <w:style w:type="character" w:styleId="WPHeading1">
    <w:name w:val="WP Heading 1"/>
    <w:basedOn w:val="DefaultParagraphFont"/>
    <w:qFormat/>
    <w:rPr>
      <w:b/>
      <w:sz w:val="36"/>
    </w:rPr>
  </w:style>
  <w:style w:type="character" w:styleId="BulletList">
    <w:name w:val="Bullet List"/>
    <w:basedOn w:val="DefaultParagraphFont"/>
    <w:qFormat/>
    <w:rPr/>
  </w:style>
  <w:style w:type="character" w:styleId="EquationCaption">
    <w:name w:val="_Equation Caption"/>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uppressAutoHyphens w:val="true"/>
      <w:jc w:val="both"/>
    </w:pPr>
    <w:rPr>
      <w:rFonts w:ascii="Times New Roman" w:hAnsi="Times New Roman" w:cs="Times New Roman"/>
      <w:spacing w:val="-2"/>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FSVAXDocs">
    <w:name w:val="FS VAX Docs"/>
    <w:qFormat/>
    <w:pPr>
      <w:widowControl w:val="false"/>
      <w:tabs>
        <w:tab w:val="right" w:pos="-288" w:leader="dot"/>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pPr>
    <w:rPr>
      <w:rFonts w:ascii="Courier;Courier New" w:hAnsi="Courier;Courier New" w:eastAsia="Times New Roman" w:cs="Courier;Courier New"/>
      <w:color w:val="auto"/>
      <w:sz w:val="24"/>
      <w:szCs w:val="20"/>
      <w:lang w:val="en-US" w:eastAsia="en-US" w:bidi="hi-IN"/>
    </w:rPr>
  </w:style>
  <w:style w:type="paragraph" w:styleId="Document1">
    <w:name w:val="Document 1"/>
    <w:qFormat/>
    <w:pPr>
      <w:keepNext w:val="true"/>
      <w:keepLines/>
      <w:widowControl w:val="false"/>
      <w:tabs>
        <w:tab w:val="clear" w:pos="720"/>
        <w:tab w:val="left" w:pos="-720" w:leader="none"/>
      </w:tabs>
      <w:suppressAutoHyphens w:val="true"/>
      <w:bidi w:val="0"/>
    </w:pPr>
    <w:rPr>
      <w:rFonts w:ascii="Courier;Courier New" w:hAnsi="Courier;Courier New" w:eastAsia="Times New Roman" w:cs="Courier;Courier New"/>
      <w:color w:val="auto"/>
      <w:sz w:val="24"/>
      <w:szCs w:val="20"/>
      <w:lang w:val="en-US" w:eastAsia="en-US" w:bidi="hi-IN"/>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2000-12-07T03:24:00Z</dcterms:created>
  <dc:creator>Timothy A. Waire</dc:creator>
  <dc:description/>
  <dc:language>en-CA</dc:language>
  <cp:lastModifiedBy>PacifiCorp</cp:lastModifiedBy>
  <cp:lastPrinted>2000-12-06T21:54:00Z</cp:lastPrinted>
  <dcterms:modified xsi:type="dcterms:W3CDTF">2000-12-07T03:38:00Z</dcterms:modified>
  <cp:revision>6</cp:revision>
  <dc:subject/>
  <dc:title>MARGIN AGREEMENT</dc:title>
</cp:coreProperties>
</file>