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58" w:type="dxa"/>
        <w:jc w:val="start"/>
        <w:tblInd w:w="0" w:type="dxa"/>
        <w:tblLayout w:type="fixed"/>
        <w:tblCellMar>
          <w:top w:w="0" w:type="dxa"/>
          <w:start w:w="108" w:type="dxa"/>
          <w:bottom w:w="0" w:type="dxa"/>
          <w:end w:w="108" w:type="dxa"/>
        </w:tblCellMar>
      </w:tblPr>
      <w:tblGrid>
        <w:gridCol w:w="1098"/>
        <w:gridCol w:w="2610"/>
        <w:gridCol w:w="1439"/>
        <w:gridCol w:w="901"/>
        <w:gridCol w:w="810"/>
        <w:gridCol w:w="3600"/>
      </w:tblGrid>
      <w:tr>
        <w:trPr>
          <w:trHeight w:val="1250" w:hRule="atLeast"/>
        </w:trPr>
        <w:tc>
          <w:tcPr>
            <w:tcW w:w="5147" w:type="dxa"/>
            <w:gridSpan w:val="3"/>
            <w:tcBorders/>
          </w:tcPr>
          <w:p>
            <w:pPr>
              <w:pStyle w:val="Normal"/>
              <w:ind w:hanging="720" w:start="720" w:end="0"/>
              <w:rPr/>
            </w:pPr>
            <w:r>
              <w:rPr/>
              <w:t xml:space="preserve"> </w:t>
            </w:r>
            <w:r>
              <w:rPr/>
              <w:drawing>
                <wp:inline distT="0" distB="0" distL="0" distR="0">
                  <wp:extent cx="2102485" cy="619125"/>
                  <wp:effectExtent l="0" t="0" r="0" b="0"/>
                  <wp:docPr id="1" name="Black%20no%20gradient%20w_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20no%20gradient%20w_sm" descr="" title=""/>
                          <pic:cNvPicPr>
                            <a:picLocks noChangeAspect="1" noChangeArrowheads="1"/>
                          </pic:cNvPicPr>
                        </pic:nvPicPr>
                        <pic:blipFill>
                          <a:blip r:embed="rId2"/>
                          <a:srcRect l="-14" t="-47" r="-14" b="-47"/>
                          <a:stretch>
                            <a:fillRect/>
                          </a:stretch>
                        </pic:blipFill>
                        <pic:spPr bwMode="auto">
                          <a:xfrm>
                            <a:off x="0" y="0"/>
                            <a:ext cx="2102485" cy="619125"/>
                          </a:xfrm>
                          <a:prstGeom prst="rect">
                            <a:avLst/>
                          </a:prstGeom>
                          <a:noFill/>
                        </pic:spPr>
                      </pic:pic>
                    </a:graphicData>
                  </a:graphic>
                </wp:inline>
              </w:drawing>
            </w:r>
          </w:p>
        </w:tc>
        <w:tc>
          <w:tcPr>
            <w:tcW w:w="5311" w:type="dxa"/>
            <w:gridSpan w:val="3"/>
            <w:tcBorders/>
          </w:tcPr>
          <w:p>
            <w:pPr>
              <w:pStyle w:val="Normal"/>
              <w:ind w:hanging="720" w:start="720" w:end="0"/>
              <w:jc w:val="end"/>
              <w:rPr>
                <w:sz w:val="18"/>
              </w:rPr>
            </w:pPr>
            <w:r>
              <w:rPr>
                <w:sz w:val="18"/>
              </w:rPr>
              <w:t>DEPARTMENTAL CORRESPONDENCE</w:t>
            </w:r>
          </w:p>
        </w:tc>
      </w:tr>
      <w:tr>
        <w:trPr>
          <w:trHeight w:val="360" w:hRule="atLeast"/>
        </w:trPr>
        <w:tc>
          <w:tcPr>
            <w:tcW w:w="10458" w:type="dxa"/>
            <w:gridSpan w:val="6"/>
            <w:tcBorders/>
          </w:tcPr>
          <w:p>
            <w:pPr>
              <w:pStyle w:val="Normal"/>
              <w:snapToGrid w:val="false"/>
              <w:rPr/>
            </w:pPr>
            <w:r>
              <w:rPr/>
            </w:r>
          </w:p>
        </w:tc>
      </w:tr>
      <w:tr>
        <w:trPr>
          <w:trHeight w:val="810" w:hRule="atLeast"/>
        </w:trPr>
        <w:tc>
          <w:tcPr>
            <w:tcW w:w="1098" w:type="dxa"/>
            <w:tcBorders/>
          </w:tcPr>
          <w:p>
            <w:pPr>
              <w:pStyle w:val="Normal"/>
              <w:rPr>
                <w:sz w:val="22"/>
              </w:rPr>
            </w:pPr>
            <w:r>
              <w:rPr>
                <w:sz w:val="22"/>
              </w:rPr>
              <w:t>Subject:</w:t>
            </w:r>
          </w:p>
        </w:tc>
        <w:tc>
          <w:tcPr>
            <w:tcW w:w="4950" w:type="dxa"/>
            <w:gridSpan w:val="3"/>
            <w:tcBorders/>
          </w:tcPr>
          <w:p>
            <w:pPr>
              <w:pStyle w:val="Normal"/>
              <w:rPr>
                <w:rFonts w:ascii="Arial" w:hAnsi="Arial" w:cs="Arial"/>
                <w:sz w:val="22"/>
              </w:rPr>
            </w:pPr>
            <w:r>
              <w:rPr>
                <w:rFonts w:cs="Arial" w:ascii="Arial" w:hAnsi="Arial"/>
                <w:sz w:val="22"/>
              </w:rPr>
              <w:t xml:space="preserve">March 2001 Baseload Contract Price Conversion for North Shore Gas </w:t>
            </w:r>
            <w:r>
              <w:fldChar w:fldCharType="begin">
                <w:ffData>
                  <w:name w:val="Text9"/>
                  <w:enabled/>
                  <w:calcOnExit w:val="0"/>
                  <w:textInput/>
                </w:ffData>
              </w:fldChar>
            </w:r>
            <w:r>
              <w:rPr>
                <w:sz w:val="22"/>
                <w:rFonts w:cs="Arial" w:ascii="Arial" w:hAnsi="Arial"/>
                <w:lang w:val="en-CA"/>
              </w:rPr>
              <w:instrText xml:space="preserve"> FORMTEXT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     </w:t>
            </w:r>
            <w:r/>
            <w:r>
              <w:rPr>
                <w:sz w:val="22"/>
                <w:rFonts w:cs="Arial" w:ascii="Arial" w:hAnsi="Arial"/>
                <w:lang w:val="en-CA"/>
              </w:rPr>
              <w:fldChar w:fldCharType="end"/>
            </w:r>
            <w:r>
              <w:rPr>
                <w:rFonts w:cs="Arial" w:ascii="Arial" w:hAnsi="Arial"/>
                <w:sz w:val="22"/>
                <w:lang w:val="en-CA"/>
              </w:rPr>
            </w:r>
          </w:p>
        </w:tc>
        <w:tc>
          <w:tcPr>
            <w:tcW w:w="810" w:type="dxa"/>
            <w:tcBorders/>
          </w:tcPr>
          <w:p>
            <w:pPr>
              <w:pStyle w:val="Normal"/>
              <w:rPr>
                <w:sz w:val="22"/>
              </w:rPr>
            </w:pPr>
            <w:r>
              <w:rPr>
                <w:sz w:val="22"/>
              </w:rPr>
              <w:t>Date:</w:t>
            </w:r>
          </w:p>
        </w:tc>
        <w:tc>
          <w:tcPr>
            <w:tcW w:w="3600" w:type="dxa"/>
            <w:tcBorders/>
          </w:tcPr>
          <w:p>
            <w:pPr>
              <w:pStyle w:val="Normal"/>
              <w:rPr>
                <w:rFonts w:ascii="Arial" w:hAnsi="Arial" w:cs="Arial"/>
                <w:sz w:val="22"/>
              </w:rPr>
            </w:pPr>
            <w:r>
              <w:rPr>
                <w:rFonts w:cs="Arial" w:ascii="Arial" w:hAnsi="Arial"/>
                <w:sz w:val="22"/>
              </w:rPr>
              <w:t>February 20,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r>
      <w:tr>
        <w:trPr>
          <w:trHeight w:val="828" w:hRule="atLeast"/>
        </w:trPr>
        <w:tc>
          <w:tcPr>
            <w:tcW w:w="1098" w:type="dxa"/>
            <w:tcBorders/>
          </w:tcPr>
          <w:p>
            <w:pPr>
              <w:pStyle w:val="Normal"/>
              <w:rPr>
                <w:sz w:val="22"/>
              </w:rPr>
            </w:pPr>
            <w:r>
              <w:rPr>
                <w:sz w:val="22"/>
              </w:rPr>
              <w:t>To:</w:t>
            </w:r>
          </w:p>
        </w:tc>
        <w:tc>
          <w:tcPr>
            <w:tcW w:w="2610" w:type="dxa"/>
            <w:tcBorders/>
          </w:tcPr>
          <w:p>
            <w:pPr>
              <w:pStyle w:val="Normal"/>
              <w:rPr>
                <w:rFonts w:ascii="Arial" w:hAnsi="Arial" w:cs="Arial"/>
                <w:sz w:val="22"/>
              </w:rPr>
            </w:pPr>
            <w:r>
              <w:rPr>
                <w:rFonts w:cs="Arial" w:ascii="Arial" w:hAnsi="Arial"/>
                <w:sz w:val="22"/>
              </w:rPr>
              <w:t>D. Wear</w:t>
            </w:r>
          </w:p>
          <w:p>
            <w:pPr>
              <w:pStyle w:val="Normal"/>
              <w:rPr>
                <w:rFonts w:ascii="Arial" w:hAnsi="Arial" w:cs="Arial"/>
                <w:sz w:val="22"/>
              </w:rPr>
            </w:pPr>
            <w:r>
              <w:rPr>
                <w:rFonts w:cs="Arial" w:ascii="Arial" w:hAnsi="Arial"/>
                <w:sz w:val="22"/>
              </w:rPr>
              <w:t>File</w:t>
            </w:r>
          </w:p>
        </w:tc>
        <w:tc>
          <w:tcPr>
            <w:tcW w:w="2340" w:type="dxa"/>
            <w:gridSpan w:val="2"/>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rPr>
                <w:sz w:val="22"/>
              </w:rPr>
            </w:pPr>
            <w:r>
              <w:rPr>
                <w:sz w:val="22"/>
              </w:rPr>
              <w:t>From:</w:t>
            </w:r>
          </w:p>
        </w:tc>
        <w:tc>
          <w:tcPr>
            <w:tcW w:w="3600" w:type="dxa"/>
            <w:tcBorders/>
          </w:tcPr>
          <w:p>
            <w:pPr>
              <w:pStyle w:val="Normal"/>
              <w:rPr>
                <w:rFonts w:ascii="Arial" w:hAnsi="Arial" w:cs="Arial"/>
                <w:sz w:val="22"/>
              </w:rPr>
            </w:pPr>
            <w:r>
              <w:rPr>
                <w:rFonts w:cs="Arial" w:ascii="Arial" w:hAnsi="Arial"/>
                <w:sz w:val="22"/>
              </w:rPr>
              <w:t>J. Slechta</w:t>
            </w:r>
          </w:p>
        </w:tc>
      </w:tr>
      <w:tr>
        <w:trPr>
          <w:trHeight w:val="792" w:hRule="atLeast"/>
        </w:trPr>
        <w:tc>
          <w:tcPr>
            <w:tcW w:w="6048" w:type="dxa"/>
            <w:gridSpan w:val="4"/>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rPr>
                <w:sz w:val="22"/>
              </w:rPr>
            </w:pPr>
            <w:r>
              <w:rPr>
                <w:sz w:val="22"/>
              </w:rPr>
              <w:t xml:space="preserve">Copy: </w:t>
            </w:r>
          </w:p>
          <w:p>
            <w:pPr>
              <w:pStyle w:val="Normal"/>
              <w:rPr>
                <w:sz w:val="22"/>
              </w:rPr>
            </w:pPr>
            <w:r>
              <w:rPr>
                <w:sz w:val="22"/>
              </w:rPr>
              <w:t>To</w:t>
            </w:r>
          </w:p>
        </w:tc>
        <w:tc>
          <w:tcPr>
            <w:tcW w:w="3600" w:type="dxa"/>
            <w:tcBorders/>
          </w:tcPr>
          <w:p>
            <w:pPr>
              <w:pStyle w:val="Normal"/>
              <w:rPr>
                <w:rFonts w:ascii="Arial" w:hAnsi="Arial" w:cs="Arial"/>
                <w:sz w:val="22"/>
              </w:rPr>
            </w:pPr>
            <w:r>
              <w:rPr>
                <w:rFonts w:cs="Arial" w:ascii="Arial" w:hAnsi="Arial"/>
                <w:sz w:val="22"/>
              </w:rPr>
              <w:t>A. Akkerman                                C. Blachut</w:t>
            </w:r>
          </w:p>
          <w:p>
            <w:pPr>
              <w:pStyle w:val="Normal"/>
              <w:rPr>
                <w:rFonts w:ascii="Arial" w:hAnsi="Arial" w:cs="Arial"/>
                <w:sz w:val="22"/>
              </w:rPr>
            </w:pPr>
            <w:r>
              <w:rPr>
                <w:rFonts w:cs="Arial" w:ascii="Arial" w:hAnsi="Arial"/>
                <w:sz w:val="22"/>
              </w:rPr>
              <w:t>T. Smith</w:t>
            </w:r>
          </w:p>
          <w:p>
            <w:pPr>
              <w:pStyle w:val="Normal"/>
              <w:rPr>
                <w:rFonts w:ascii="Arial" w:hAnsi="Arial" w:cs="Arial"/>
                <w:sz w:val="22"/>
              </w:rPr>
            </w:pPr>
            <w:r>
              <w:rPr>
                <w:rFonts w:cs="Arial" w:ascii="Arial" w:hAnsi="Arial"/>
                <w:sz w:val="22"/>
              </w:rPr>
              <w:t>S. Holler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r>
    </w:tbl>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t xml:space="preserve">For March, 2001, NSG elected to convert 12,000 mmbtu/d of contract BASELOAD QUANTITY citygate purchases from Enron from the contract price of Natural Gas Intelligence Weekly FOM Chicago Citygate Illinois via NGPL to Gas Daily, daily Citygate Chicago LDC’s large end-users, Daily Mid-point plus $.01. </w:t>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ab/>
        <w:t xml:space="preserve">     c.c.  R. de Lara</w:t>
      </w:r>
    </w:p>
    <w:p>
      <w:pPr>
        <w:pStyle w:val="Normal"/>
        <w:tabs>
          <w:tab w:val="clear" w:pos="720"/>
          <w:tab w:val="left" w:pos="1080" w:leader="none"/>
          <w:tab w:val="left" w:pos="1260" w:leader="none"/>
        </w:tabs>
        <w:rPr>
          <w:rFonts w:ascii="Arial" w:hAnsi="Arial" w:cs="Arial"/>
          <w:sz w:val="22"/>
        </w:rPr>
      </w:pPr>
      <w:r>
        <w:rPr>
          <w:rFonts w:eastAsia="Arial" w:cs="Arial" w:ascii="Arial" w:hAnsi="Arial"/>
          <w:sz w:val="22"/>
        </w:rPr>
        <w:t xml:space="preserve">      </w:t>
      </w:r>
      <w:r>
        <w:rPr>
          <w:rFonts w:cs="Arial" w:ascii="Arial" w:hAnsi="Arial"/>
          <w:sz w:val="22"/>
        </w:rPr>
        <w:tab/>
        <w:tab/>
        <w:t xml:space="preserve">    W. Morrow</w:t>
      </w:r>
    </w:p>
    <w:p>
      <w:pPr>
        <w:pStyle w:val="Normal"/>
        <w:tabs>
          <w:tab w:val="clear" w:pos="720"/>
          <w:tab w:val="left" w:pos="1080" w:leader="none"/>
          <w:tab w:val="left" w:pos="1260" w:leader="none"/>
        </w:tabs>
        <w:rPr>
          <w:rFonts w:ascii="Arial" w:hAnsi="Arial" w:cs="Arial"/>
          <w:sz w:val="22"/>
        </w:rPr>
      </w:pPr>
      <w:r>
        <w:rPr>
          <w:rFonts w:eastAsia="Arial" w:cs="Arial" w:ascii="Arial" w:hAnsi="Arial"/>
          <w:sz w:val="22"/>
        </w:rPr>
        <w:t xml:space="preserve">                         </w:t>
      </w:r>
      <w:r>
        <w:rPr>
          <w:rFonts w:cs="Arial" w:ascii="Arial" w:hAnsi="Arial"/>
          <w:sz w:val="22"/>
        </w:rPr>
        <w:t>B. Dillard-Radous</w:t>
      </w:r>
    </w:p>
    <w:p>
      <w:pPr>
        <w:pStyle w:val="Normal"/>
        <w:tabs>
          <w:tab w:val="clear" w:pos="720"/>
          <w:tab w:val="left" w:pos="1080" w:leader="none"/>
          <w:tab w:val="left" w:pos="1260" w:leader="none"/>
        </w:tabs>
        <w:rPr>
          <w:rFonts w:ascii="Arial" w:hAnsi="Arial" w:cs="Arial"/>
          <w:sz w:val="22"/>
        </w:rPr>
      </w:pPr>
      <w:r>
        <w:rPr>
          <w:rFonts w:eastAsia="Arial" w:cs="Arial" w:ascii="Arial" w:hAnsi="Arial"/>
          <w:sz w:val="22"/>
        </w:rPr>
        <w:t xml:space="preserve">                         </w:t>
      </w:r>
      <w:r>
        <w:rPr>
          <w:rFonts w:cs="Arial" w:ascii="Arial" w:hAnsi="Arial"/>
          <w:sz w:val="22"/>
        </w:rPr>
        <w:t>H. Shively</w:t>
      </w:r>
    </w:p>
    <w:p>
      <w:pPr>
        <w:pStyle w:val="Normal"/>
        <w:tabs>
          <w:tab w:val="clear" w:pos="720"/>
          <w:tab w:val="left" w:pos="1080" w:leader="none"/>
          <w:tab w:val="left" w:pos="1260" w:leader="none"/>
        </w:tabs>
        <w:rPr>
          <w:rFonts w:ascii="Arial" w:hAnsi="Arial" w:cs="Arial"/>
          <w:sz w:val="22"/>
        </w:rPr>
      </w:pPr>
      <w:r>
        <w:rPr>
          <w:rFonts w:cs="Arial" w:ascii="Arial" w:hAnsi="Arial"/>
          <w:sz w:val="22"/>
        </w:rPr>
        <w:tab/>
        <w:tab/>
        <w:tab/>
        <w:t xml:space="preserve"> J.  Williams</w:t>
        <w:tab/>
      </w:r>
    </w:p>
    <w:sectPr>
      <w:footerReference w:type="default" r:id="rId3"/>
      <w:type w:val="nextPage"/>
      <w:pgSz w:w="12240" w:h="15840"/>
      <w:pgMar w:left="720" w:right="1440" w:gutter="0" w:header="0" w:top="8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Form 832   01-01-99</w:t>
    </w:r>
  </w:p>
</w:ft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2001-02-21T13:32:00Z</dcterms:created>
  <dc:creator>HANNO</dc:creator>
  <dc:description/>
  <dc:language>en-CA</dc:language>
  <cp:lastModifiedBy>SLECHta</cp:lastModifiedBy>
  <cp:lastPrinted>1999-12-28T14:12:00Z</cp:lastPrinted>
  <dcterms:modified xsi:type="dcterms:W3CDTF">2001-02-21T13:32:00Z</dcterms:modified>
  <cp:revision>2</cp:revision>
  <dc:subject/>
  <dc:title> </dc:title>
</cp:coreProperties>
</file>