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media/image1.png" ContentType="image/png"/>
  <Override PartName="/word/media/image2.png" ContentType="image/png"/>
  <Override PartName="/word/media/image3.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object w:dxaOrig="10078" w:dyaOrig="70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25.2pt;margin-top:0pt;width:468pt;height:35.25pt;mso-wrap-distance-left:9.05pt;mso-wrap-distance-right:9.05pt;mso-position-horizontal-relative:text;mso-position-vertical-relative:text" filled="f" o:ole="">
            <v:imagedata r:id="rId3" o:title=""/>
            <w10:wrap type="topAndBottom"/>
          </v:shape>
          <o:OLEObject Type="Embed" ProgID="" ShapeID="ole_rId2" DrawAspect="Content" ObjectID="_1940553213" r:id="rId2"/>
        </w:object>
        <w:object w:dxaOrig="1155" w:dyaOrig="75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369.6pt;margin-top:-1.5pt;width:57.75pt;height:37.5pt;mso-wrap-distance-left:9.05pt;mso-wrap-distance-right:9.05pt;mso-position-horizontal-relative:text;mso-position-vertical-relative:text" filled="f" o:ole="">
            <v:imagedata r:id="rId5" o:title=""/>
            <w10:wrap type="topAndBottom"/>
          </v:shape>
          <o:OLEObject Type="Embed" ProgID="" ShapeID="ole_rId4" DrawAspect="Content" ObjectID="_1181033443" r:id="rId4"/>
        </w:object>
        <mc:AlternateContent>
          <mc:Choice Requires="wps">
            <w:drawing>
              <wp:anchor behindDoc="0" distT="0" distB="0" distL="114935" distR="114935" simplePos="0" locked="0" layoutInCell="0" allowOverlap="1" relativeHeight="4">
                <wp:simplePos x="0" y="0"/>
                <wp:positionH relativeFrom="column">
                  <wp:posOffset>-45720</wp:posOffset>
                </wp:positionH>
                <wp:positionV relativeFrom="paragraph">
                  <wp:posOffset>548640</wp:posOffset>
                </wp:positionV>
                <wp:extent cx="5486400" cy="0"/>
                <wp:effectExtent l="0" t="19050" r="0" b="19050"/>
                <wp:wrapTopAndBottom/>
                <wp:docPr id="1" name=""/>
                <a:graphic xmlns:a="http://schemas.openxmlformats.org/drawingml/2006/main">
                  <a:graphicData uri="http://schemas.microsoft.com/office/word/2010/wordprocessingShape">
                    <wps:wsp>
                      <wps:cNvSpPr/>
                      <wps:spPr>
                        <a:xfrm>
                          <a:off x="0" y="0"/>
                          <a:ext cx="5486400" cy="0"/>
                        </a:xfrm>
                        <a:prstGeom prst="line">
                          <a:avLst/>
                        </a:prstGeom>
                        <a:ln w="38160">
                          <a:solidFill>
                            <a:srgbClr val="000080"/>
                          </a:solidFill>
                          <a:miter/>
                        </a:ln>
                      </wps:spPr>
                      <wps:style>
                        <a:lnRef idx="0"/>
                        <a:fillRef idx="0"/>
                        <a:effectRef idx="0"/>
                        <a:fontRef idx="minor"/>
                      </wps:style>
                      <wps:bodyPr/>
                    </wps:wsp>
                  </a:graphicData>
                </a:graphic>
              </wp:anchor>
            </w:drawing>
          </mc:Choice>
          <mc:Fallback>
            <w:pict>
              <v:line id="shape_0" from="-3.6pt,43.2pt" to="428.35pt,43.2pt" stroked="t" o:allowincell="f" style="position:absolute">
                <v:stroke color="navy" weight="38160" joinstyle="miter" endcap="flat"/>
                <v:fill o:detectmouseclick="t" on="false"/>
                <w10:wrap type="topAndBottom"/>
              </v:line>
            </w:pict>
          </mc:Fallback>
        </mc:AlternateContent>
      </w:r>
      <w:r>
        <w:rPr/>
        <w:t xml:space="preserve"> </w:t>
      </w:r>
    </w:p>
    <w:p>
      <w:pPr>
        <w:pStyle w:val="Normal"/>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336699" stroked="f" o:allowincell="f" style="position:absolute;margin-left:135.15pt;margin-top:17.3pt;width:129.55pt;height:20.2pt;mso-wrap-style:none;v-text-anchor:middle" type="_x0000_t136">
            <v:path textpathok="t"/>
            <v:textpath on="t" fitshape="t" string="Cable vs DBS" style="font-family:&quot;Impact&quot;;font-size:18pt;font-weight:bold" trim="t"/>
            <v:fill o:detectmouseclick="t" type="solid" color2="#cc9966"/>
            <v:stroke color="#3465a4" joinstyle="round" endcap="flat"/>
            <v:shadow on="t" obscured="f" color="silver"/>
            <w10:wrap type="topAndBottom"/>
          </v:shape>
        </w:pict>
      </w:r>
      <w:r>
        <w:rPr/>
        <w:t>March 2001 IntelliBytes</w:t>
        <w:tab/>
        <w:tab/>
        <w:tab/>
        <w:tab/>
        <w:tab/>
        <w:tab/>
        <w:tab/>
        <w:t xml:space="preserve">              by Rita Hartfield</w:t>
      </w:r>
    </w:p>
    <w:p>
      <w:pPr>
        <w:pStyle w:val="Normal"/>
        <w:jc w:val="both"/>
        <w:rPr>
          <w:rFonts w:ascii="Impact" w:hAnsi="Impact" w:cs="Impact"/>
        </w:rPr>
      </w:pPr>
      <w:r>
        <w:rPr>
          <w:rFonts w:cs="Impact" w:ascii="Impact" w:hAnsi="Impact"/>
        </w:rPr>
      </w:r>
    </w:p>
    <w:p>
      <w:pPr>
        <w:sectPr>
          <w:footerReference w:type="default" r:id="rId6"/>
          <w:type w:val="nextPage"/>
          <w:pgSz w:w="12240" w:h="15840"/>
          <w:pgMar w:left="1800" w:right="1800" w:gutter="0" w:header="0" w:top="1440" w:footer="720" w:bottom="1440"/>
          <w:pgNumType w:fmt="decimal"/>
          <w:formProt w:val="false"/>
          <w:textDirection w:val="lrTb"/>
          <w:docGrid w:type="default" w:linePitch="360" w:charSpace="0"/>
        </w:sectPr>
      </w:pPr>
    </w:p>
    <w:p>
      <w:pPr>
        <w:pStyle w:val="Normal"/>
        <w:rPr/>
      </w:pPr>
      <w:r>
        <w:rPr/>
        <w:t>The U.S. cable industry is entering an era of prosperity due to:</w:t>
      </w:r>
    </w:p>
    <w:p>
      <w:pPr>
        <w:pStyle w:val="Normal"/>
        <w:numPr>
          <w:ilvl w:val="0"/>
          <w:numId w:val="1"/>
        </w:numPr>
        <w:rPr/>
      </w:pPr>
      <w:r>
        <w:rPr/>
        <w:t xml:space="preserve">Nearing the end of a massive 10 year capital cycle to upgrade the infrastructure to digital, 2-way communication.  </w:t>
      </w:r>
    </w:p>
    <w:p>
      <w:pPr>
        <w:pStyle w:val="Normal"/>
        <w:numPr>
          <w:ilvl w:val="0"/>
          <w:numId w:val="1"/>
        </w:numPr>
        <w:rPr/>
      </w:pPr>
      <w:r>
        <w:rPr/>
        <w:t>A ruling by the U.S. Court of Appeals for the District of Columbia overturning the 1992 law that limited cable ownership to 30% of U.S. multi-channel subscribers.</w:t>
      </w:r>
    </w:p>
    <w:p>
      <w:pPr>
        <w:pStyle w:val="Normal"/>
        <w:numPr>
          <w:ilvl w:val="0"/>
          <w:numId w:val="1"/>
        </w:numPr>
        <w:rPr/>
      </w:pPr>
      <w:r>
        <w:rPr/>
        <w:t>A new Administration which has already reshaped the FCC towards anti-regulatory policy which should support increased basic rates and avoid open access for the next several years.</w:t>
      </w:r>
    </w:p>
    <w:p>
      <w:pPr>
        <w:pStyle w:val="Normal"/>
        <w:rPr/>
      </w:pPr>
      <w:r>
        <w:rPr/>
      </w:r>
    </w:p>
    <w:p>
      <w:pPr>
        <w:pStyle w:val="Normal"/>
        <w:rPr>
          <w:b/>
        </w:rPr>
      </w:pPr>
      <w:r>
        <w:rPr>
          <w:b/>
        </w:rPr>
        <w:t>Current State of the Cable Industry</w:t>
      </w:r>
    </w:p>
    <w:p>
      <w:pPr>
        <w:pStyle w:val="Normal"/>
        <w:rPr>
          <w:b/>
        </w:rPr>
      </w:pPr>
      <w:r>
        <w:rPr>
          <w:b/>
        </w:rPr>
      </w:r>
    </w:p>
    <w:p>
      <w:pPr>
        <w:pStyle w:val="Normal"/>
        <w:rPr/>
      </w:pPr>
      <w:r>
        <w:rPr/>
        <w:t>At the end of 2000, there were 68 million cable subscribers or nearly 70% of 98 million TV homes.  78 million, or 80%, of these TV homes passed are digital video ready homes.  At the end of 2000, the cable industry had nearly 9 million digital cable subscribers.  By end of 2005, digital cable subscribers are expected to total 41.4 million.</w:t>
      </w:r>
    </w:p>
    <w:p>
      <w:pPr>
        <w:pStyle w:val="Normal"/>
        <w:rPr/>
      </w:pPr>
      <w:r>
        <w:rPr/>
      </w:r>
    </w:p>
    <w:p>
      <w:pPr>
        <w:pStyle w:val="Normal"/>
        <w:rPr/>
      </w:pPr>
      <w:r>
        <w:rPr/>
        <w:t>The top 10 multi-service operations (MSOs) own about 90% of cable industry subscribers with the top 7 MSOs accounting for 85%.  The industry giants are AT&amp;T Broadband (13.8 million, including TCI and MediaOne) and AOL Time Warner (12.8 million).  Making up the remainder of the top 7 are Comcast (8.4 million), Adelphia (5.7 million), Cox (6.2 million), Charter (6.9 million), and Cablevision (3 million).</w:t>
      </w:r>
    </w:p>
    <w:p>
      <w:pPr>
        <w:pStyle w:val="Normal"/>
        <w:rPr/>
      </w:pPr>
      <w:r>
        <w:rPr/>
      </w:r>
    </w:p>
    <w:p>
      <w:pPr>
        <w:pStyle w:val="Normal"/>
        <w:rPr/>
      </w:pPr>
      <w:r>
        <w:rPr/>
        <w:t>Subscriber acquisition costs for digital cable are in the $100 - $150 range.  No retail distribution channels equates to no retail commission or equipment subsidies.</w:t>
      </w:r>
    </w:p>
    <w:p>
      <w:pPr>
        <w:pStyle w:val="Normal"/>
        <w:rPr/>
      </w:pPr>
      <w:r>
        <w:rPr/>
      </w:r>
    </w:p>
    <w:p>
      <w:pPr>
        <w:pStyle w:val="Normal"/>
        <w:rPr>
          <w:b/>
        </w:rPr>
      </w:pPr>
      <w:r>
        <w:rPr>
          <w:b/>
        </w:rPr>
        <w:t xml:space="preserve">Current State of the Direct Broadcast Satellite </w:t>
      </w:r>
    </w:p>
    <w:p>
      <w:pPr>
        <w:pStyle w:val="Normal"/>
        <w:rPr>
          <w:b/>
        </w:rPr>
      </w:pPr>
      <w:r>
        <w:rPr>
          <w:b/>
        </w:rPr>
      </w:r>
    </w:p>
    <w:p>
      <w:pPr>
        <w:pStyle w:val="Normal"/>
        <w:rPr/>
      </w:pPr>
      <w:r>
        <w:rPr/>
        <w:t>The direct broadcast satellite (DBS) industry has experienced a reacceleration of growth primarily due to the inclusion of local signals in late 1999-early 2000 and sharp reductions in upfront equipment and installation costs to the consumer. At the end of 2000, the DBS industry had 14.8 million subscribers.  By the end of 2005, DBS subscribers are expected to total 25.5 million.</w:t>
      </w:r>
    </w:p>
    <w:p>
      <w:pPr>
        <w:pStyle w:val="Normal"/>
        <w:rPr/>
      </w:pPr>
      <w:r>
        <w:rPr/>
      </w:r>
    </w:p>
    <w:p>
      <w:pPr>
        <w:pStyle w:val="Normal"/>
        <w:rPr/>
      </w:pPr>
      <w:r>
        <w:rPr/>
        <w:t>The industry giants in this sector are DirecTV, which merged with USSB and Primestar in 1999, and EchoStar, which merged with ASkyB.</w:t>
      </w:r>
    </w:p>
    <w:p>
      <w:pPr>
        <w:pStyle w:val="Normal"/>
        <w:rPr/>
      </w:pPr>
      <w:r>
        <w:rPr/>
      </w:r>
    </w:p>
    <w:p>
      <w:pPr>
        <w:pStyle w:val="Normal"/>
        <w:rPr/>
      </w:pPr>
      <w:r>
        <w:rPr/>
        <w:t>DBS has temporarily seized an advantage over cable in its ubiquitous coverage and through  partnerships with Internet providers, basic interactive TV service providers, and personal video recorder (PVR) providers.  DirecTV partnered with AOLTV for Internet, Wink for iTV, and TiVo for PVRs  while EchoStar partnered with WebTV for Internet, OpenTV for iTV, and Replay for PVRs.</w:t>
      </w:r>
    </w:p>
    <w:p>
      <w:pPr>
        <w:pStyle w:val="Normal"/>
        <w:rPr/>
      </w:pPr>
      <w:r>
        <w:rPr/>
      </w:r>
    </w:p>
    <w:p>
      <w:pPr>
        <w:pStyle w:val="Normal"/>
        <w:rPr/>
      </w:pPr>
      <w:r>
        <w:rPr/>
        <w:t>Subscriber acquisition costs for DBS are in the $500 - $550 range.  This may go higher as dish buybacks [to upgrade equipment] become more widespread.</w:t>
      </w:r>
    </w:p>
    <w:p>
      <w:pPr>
        <w:pStyle w:val="Normal"/>
        <w:rPr/>
      </w:pPr>
      <w:r>
        <w:rPr/>
      </w:r>
    </w:p>
    <w:p>
      <w:pPr>
        <w:pStyle w:val="Normal"/>
        <w:rPr>
          <w:b/>
        </w:rPr>
      </w:pPr>
      <w:r>
        <w:rPr>
          <w:b/>
        </w:rPr>
        <w:t>Cable Overbuilders</w:t>
      </w:r>
    </w:p>
    <w:p>
      <w:pPr>
        <w:pStyle w:val="Normal"/>
        <w:rPr>
          <w:b/>
        </w:rPr>
      </w:pPr>
      <w:r>
        <w:rPr>
          <w:b/>
        </w:rPr>
      </w:r>
    </w:p>
    <w:p>
      <w:pPr>
        <w:pStyle w:val="Normal"/>
        <w:rPr/>
      </w:pPr>
      <w:r>
        <w:rPr/>
        <w:t xml:space="preserve">Overbuilders build competing systems in markets already served by incumbent cable operators.  The economics of overbuilders is becoming more viable due to the multiple revenue streams now possible from video, data, and telephony.  However overbuilders must focus on high-density areas (of at least 80 homes per mile) to lower the investment per subscriber to a profitable level. </w:t>
      </w:r>
    </w:p>
    <w:p>
      <w:pPr>
        <w:pStyle w:val="Normal"/>
        <w:rPr/>
      </w:pPr>
      <w:r>
        <w:rPr/>
      </w:r>
    </w:p>
    <w:p>
      <w:pPr>
        <w:pStyle w:val="Normal"/>
        <w:rPr/>
      </w:pPr>
      <w:r>
        <w:rPr/>
        <w:t>To combat the overbuilder threat, the cable industry is accelerating plant rebuilds which have reached at least 80% in overbuilder markets and offering new products with multiple product bundling to lock in customers.</w:t>
      </w:r>
    </w:p>
    <w:p>
      <w:pPr>
        <w:pStyle w:val="Normal"/>
        <w:rPr/>
      </w:pPr>
      <w:r>
        <w:rPr/>
      </w:r>
    </w:p>
    <w:p>
      <w:pPr>
        <w:pStyle w:val="Normal"/>
        <w:rPr/>
      </w:pPr>
      <w:r>
        <w:rPr/>
      </w:r>
    </w:p>
    <w:p>
      <w:pPr>
        <w:pStyle w:val="Normal"/>
        <w:rPr/>
      </w:pPr>
      <w:r>
        <w:rPr/>
        <w:t>Projections of cable industry subscribers according to Deutsche Banc and information on the cable providers in the top 100 US markets in pdf format are included on the following pages.</w:t>
      </w:r>
    </w:p>
    <w:p>
      <w:pPr>
        <w:sectPr>
          <w:type w:val="continuous"/>
          <w:pgSz w:w="12240" w:h="15840"/>
          <w:pgMar w:left="1800" w:right="1800" w:gutter="0" w:header="0" w:top="1440" w:footer="720" w:bottom="1440"/>
          <w:cols w:num="2" w:space="708" w:equalWidth="true" w:sep="false"/>
          <w:formProt w:val="false"/>
          <w:textDirection w:val="lrTb"/>
          <w:docGrid w:type="default" w:linePitch="360" w:charSpace="0"/>
        </w:sectPr>
      </w:pPr>
    </w:p>
    <w:tbl>
      <w:tblPr>
        <w:tblW w:w="9720" w:type="dxa"/>
        <w:jc w:val="start"/>
        <w:tblInd w:w="-522" w:type="dxa"/>
        <w:tblLayout w:type="fixed"/>
        <w:tblCellMar>
          <w:top w:w="0" w:type="dxa"/>
          <w:start w:w="108" w:type="dxa"/>
          <w:bottom w:w="0" w:type="dxa"/>
          <w:end w:w="108" w:type="dxa"/>
        </w:tblCellMar>
      </w:tblPr>
      <w:tblGrid>
        <w:gridCol w:w="2700"/>
        <w:gridCol w:w="780"/>
        <w:gridCol w:w="780"/>
        <w:gridCol w:w="780"/>
        <w:gridCol w:w="780"/>
        <w:gridCol w:w="780"/>
        <w:gridCol w:w="780"/>
        <w:gridCol w:w="780"/>
        <w:gridCol w:w="780"/>
        <w:gridCol w:w="780"/>
      </w:tblGrid>
      <w:tr>
        <w:trPr/>
        <w:tc>
          <w:tcPr>
            <w:tcW w:w="9720" w:type="dxa"/>
            <w:gridSpan w:val="10"/>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Cable Industry New Product Subscriber Projections</w:t>
            </w:r>
          </w:p>
          <w:p>
            <w:pPr>
              <w:pStyle w:val="Normal"/>
              <w:jc w:val="center"/>
              <w:rPr>
                <w:i/>
                <w:i/>
              </w:rPr>
            </w:pPr>
            <w:r>
              <w:rPr>
                <w:i/>
              </w:rPr>
              <w:t>Subscribers and Homes in Thousands</w:t>
            </w:r>
          </w:p>
        </w:tc>
      </w:tr>
      <w:tr>
        <w:trPr/>
        <w:tc>
          <w:tcPr>
            <w:tcW w:w="2700" w:type="dxa"/>
            <w:tcBorders>
              <w:top w:val="single" w:sz="4" w:space="0" w:color="000000"/>
              <w:start w:val="single" w:sz="4" w:space="0" w:color="000000"/>
              <w:end w:val="single" w:sz="4" w:space="0" w:color="000000"/>
            </w:tcBorders>
          </w:tcPr>
          <w:p>
            <w:pPr>
              <w:pStyle w:val="Normal"/>
              <w:snapToGrid w:val="false"/>
              <w:rPr>
                <w:i/>
                <w:i/>
                <w:sz w:val="16"/>
              </w:rPr>
            </w:pPr>
            <w:r>
              <w:rPr>
                <w:i/>
                <w:sz w:val="16"/>
              </w:rPr>
            </w:r>
          </w:p>
        </w:tc>
        <w:tc>
          <w:tcPr>
            <w:tcW w:w="780" w:type="dxa"/>
            <w:tcBorders>
              <w:top w:val="single" w:sz="4" w:space="0" w:color="000000"/>
              <w:start w:val="single" w:sz="4" w:space="0" w:color="000000"/>
              <w:end w:val="single" w:sz="4" w:space="0" w:color="000000"/>
            </w:tcBorders>
          </w:tcPr>
          <w:p>
            <w:pPr>
              <w:pStyle w:val="Normal"/>
              <w:jc w:val="end"/>
              <w:rPr>
                <w:sz w:val="16"/>
              </w:rPr>
            </w:pPr>
            <w:r>
              <w:rPr>
                <w:sz w:val="16"/>
              </w:rPr>
              <w:t>1997A</w:t>
            </w:r>
          </w:p>
        </w:tc>
        <w:tc>
          <w:tcPr>
            <w:tcW w:w="780" w:type="dxa"/>
            <w:tcBorders>
              <w:top w:val="single" w:sz="4" w:space="0" w:color="000000"/>
              <w:start w:val="single" w:sz="4" w:space="0" w:color="000000"/>
              <w:end w:val="single" w:sz="4" w:space="0" w:color="000000"/>
            </w:tcBorders>
          </w:tcPr>
          <w:p>
            <w:pPr>
              <w:pStyle w:val="Normal"/>
              <w:jc w:val="end"/>
              <w:rPr>
                <w:sz w:val="16"/>
              </w:rPr>
            </w:pPr>
            <w:r>
              <w:rPr>
                <w:sz w:val="16"/>
              </w:rPr>
              <w:t>1998A</w:t>
            </w:r>
          </w:p>
        </w:tc>
        <w:tc>
          <w:tcPr>
            <w:tcW w:w="780" w:type="dxa"/>
            <w:tcBorders>
              <w:top w:val="single" w:sz="4" w:space="0" w:color="000000"/>
              <w:start w:val="single" w:sz="4" w:space="0" w:color="000000"/>
              <w:end w:val="single" w:sz="4" w:space="0" w:color="000000"/>
            </w:tcBorders>
          </w:tcPr>
          <w:p>
            <w:pPr>
              <w:pStyle w:val="Normal"/>
              <w:jc w:val="end"/>
              <w:rPr>
                <w:sz w:val="16"/>
              </w:rPr>
            </w:pPr>
            <w:r>
              <w:rPr>
                <w:sz w:val="16"/>
              </w:rPr>
              <w:t>1999A</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2000A</w:t>
            </w:r>
          </w:p>
        </w:tc>
        <w:tc>
          <w:tcPr>
            <w:tcW w:w="780" w:type="dxa"/>
            <w:tcBorders>
              <w:top w:val="single" w:sz="4" w:space="0" w:color="000000"/>
              <w:end w:val="single" w:sz="4" w:space="0" w:color="000000"/>
            </w:tcBorders>
          </w:tcPr>
          <w:p>
            <w:pPr>
              <w:pStyle w:val="Normal"/>
              <w:jc w:val="end"/>
              <w:rPr>
                <w:sz w:val="16"/>
              </w:rPr>
            </w:pPr>
            <w:r>
              <w:rPr>
                <w:sz w:val="16"/>
              </w:rPr>
              <w:t>2001E</w:t>
            </w:r>
          </w:p>
        </w:tc>
        <w:tc>
          <w:tcPr>
            <w:tcW w:w="780" w:type="dxa"/>
            <w:tcBorders>
              <w:top w:val="single" w:sz="4" w:space="0" w:color="000000"/>
              <w:start w:val="single" w:sz="4" w:space="0" w:color="000000"/>
              <w:end w:val="single" w:sz="4" w:space="0" w:color="000000"/>
            </w:tcBorders>
          </w:tcPr>
          <w:p>
            <w:pPr>
              <w:pStyle w:val="Normal"/>
              <w:jc w:val="end"/>
              <w:rPr>
                <w:sz w:val="16"/>
              </w:rPr>
            </w:pPr>
            <w:r>
              <w:rPr>
                <w:sz w:val="16"/>
              </w:rPr>
              <w:t>2002E</w:t>
            </w:r>
          </w:p>
        </w:tc>
        <w:tc>
          <w:tcPr>
            <w:tcW w:w="780" w:type="dxa"/>
            <w:tcBorders>
              <w:top w:val="single" w:sz="4" w:space="0" w:color="000000"/>
              <w:start w:val="single" w:sz="4" w:space="0" w:color="000000"/>
              <w:end w:val="single" w:sz="4" w:space="0" w:color="000000"/>
            </w:tcBorders>
          </w:tcPr>
          <w:p>
            <w:pPr>
              <w:pStyle w:val="Normal"/>
              <w:jc w:val="end"/>
              <w:rPr>
                <w:sz w:val="16"/>
              </w:rPr>
            </w:pPr>
            <w:r>
              <w:rPr>
                <w:sz w:val="16"/>
              </w:rPr>
              <w:t>2003E</w:t>
            </w:r>
          </w:p>
        </w:tc>
        <w:tc>
          <w:tcPr>
            <w:tcW w:w="780" w:type="dxa"/>
            <w:tcBorders>
              <w:top w:val="single" w:sz="4" w:space="0" w:color="000000"/>
              <w:start w:val="single" w:sz="4" w:space="0" w:color="000000"/>
              <w:end w:val="single" w:sz="4" w:space="0" w:color="000000"/>
            </w:tcBorders>
          </w:tcPr>
          <w:p>
            <w:pPr>
              <w:pStyle w:val="Normal"/>
              <w:jc w:val="end"/>
              <w:rPr>
                <w:sz w:val="16"/>
              </w:rPr>
            </w:pPr>
            <w:r>
              <w:rPr>
                <w:sz w:val="16"/>
              </w:rPr>
              <w:t>2004E</w:t>
            </w:r>
          </w:p>
        </w:tc>
        <w:tc>
          <w:tcPr>
            <w:tcW w:w="780" w:type="dxa"/>
            <w:tcBorders>
              <w:top w:val="single" w:sz="4" w:space="0" w:color="000000"/>
              <w:start w:val="single" w:sz="4" w:space="0" w:color="000000"/>
              <w:end w:val="single" w:sz="4" w:space="0" w:color="000000"/>
            </w:tcBorders>
          </w:tcPr>
          <w:p>
            <w:pPr>
              <w:pStyle w:val="Normal"/>
              <w:jc w:val="end"/>
              <w:rPr>
                <w:sz w:val="16"/>
              </w:rPr>
            </w:pPr>
            <w:r>
              <w:rPr>
                <w:sz w:val="16"/>
              </w:rPr>
              <w:t>2005E</w:t>
            </w:r>
          </w:p>
        </w:tc>
      </w:tr>
      <w:tr>
        <w:trPr>
          <w:trHeight w:val="120" w:hRule="exact"/>
        </w:trPr>
        <w:tc>
          <w:tcPr>
            <w:tcW w:w="2700"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double" w:sz="4" w:space="0" w:color="000000"/>
            </w:tcBorders>
            <w:shd w:fill="0000FF" w:val="clear"/>
          </w:tcPr>
          <w:p>
            <w:pPr>
              <w:pStyle w:val="Normal"/>
              <w:snapToGrid w:val="false"/>
              <w:jc w:val="end"/>
              <w:rPr>
                <w:sz w:val="16"/>
              </w:rPr>
            </w:pPr>
            <w:r>
              <w:rPr>
                <w:sz w:val="16"/>
              </w:rPr>
            </w:r>
          </w:p>
        </w:tc>
        <w:tc>
          <w:tcPr>
            <w:tcW w:w="780" w:type="dxa"/>
            <w:tcBorders>
              <w:top w:val="single" w:sz="4" w:space="0" w:color="000000"/>
              <w:bottom w:val="single" w:sz="4" w:space="0" w:color="000000"/>
              <w:end w:val="single" w:sz="4" w:space="0" w:color="000000"/>
            </w:tcBorders>
            <w:shd w:fill="0000FF" w:val="clear"/>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sz w:val="16"/>
              </w:rPr>
            </w:pPr>
            <w:r>
              <w:rPr>
                <w:sz w:val="16"/>
              </w:rPr>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Total US Households</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101,386</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102,448</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103,738</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104,966</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106,225</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107,500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108,790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110,095</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111,416</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 xml:space="preserve">  </w:t>
            </w:r>
            <w:r>
              <w:rPr>
                <w:sz w:val="16"/>
              </w:rPr>
              <w:t>% Change Year-to-Year</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1.2%</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1.3%</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1.2%</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1.2%</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1.2%</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1.2%</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1.2%</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1.2%</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double" w:sz="4" w:space="0" w:color="000000"/>
            </w:tcBorders>
          </w:tcPr>
          <w:p>
            <w:pPr>
              <w:pStyle w:val="Normal"/>
              <w:snapToGrid w:val="false"/>
              <w:jc w:val="end"/>
              <w:rPr>
                <w:sz w:val="16"/>
              </w:rPr>
            </w:pPr>
            <w:r>
              <w:rPr>
                <w:sz w:val="16"/>
              </w:rPr>
            </w:r>
          </w:p>
        </w:tc>
        <w:tc>
          <w:tcPr>
            <w:tcW w:w="780" w:type="dxa"/>
            <w:tcBorders>
              <w:top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Total US TV Households</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98,000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99,600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100,802</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102,011</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103,235</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104,474</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105,728</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106,997</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108,281</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 xml:space="preserve">  </w:t>
            </w:r>
            <w:r>
              <w:rPr>
                <w:sz w:val="16"/>
              </w:rPr>
              <w:t>% Change Year-to-Year</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1.1%</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1.6%</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1.2%</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1.2%</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1.2%</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1.2%</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1.2%</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1.2%</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1.2%</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double" w:sz="4" w:space="0" w:color="000000"/>
            </w:tcBorders>
          </w:tcPr>
          <w:p>
            <w:pPr>
              <w:pStyle w:val="Normal"/>
              <w:snapToGrid w:val="false"/>
              <w:jc w:val="end"/>
              <w:rPr>
                <w:sz w:val="16"/>
              </w:rPr>
            </w:pPr>
            <w:r>
              <w:rPr>
                <w:sz w:val="16"/>
              </w:rPr>
            </w:r>
          </w:p>
        </w:tc>
        <w:tc>
          <w:tcPr>
            <w:tcW w:w="780" w:type="dxa"/>
            <w:tcBorders>
              <w:top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Homes Passed by Cable</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94,600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95,600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96,600</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97,663</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98,835</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100,021</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101,221</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102,435</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103,665</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 xml:space="preserve">  </w:t>
            </w:r>
            <w:r>
              <w:rPr>
                <w:sz w:val="16"/>
              </w:rPr>
              <w:t>% of US TV Households</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96.5%</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96%</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95.8%</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95.7%</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95.7%</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95.7%</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95.7%</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95.7%</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95.7%</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double" w:sz="4" w:space="0" w:color="000000"/>
            </w:tcBorders>
          </w:tcPr>
          <w:p>
            <w:pPr>
              <w:pStyle w:val="Normal"/>
              <w:snapToGrid w:val="false"/>
              <w:jc w:val="end"/>
              <w:rPr>
                <w:sz w:val="16"/>
              </w:rPr>
            </w:pPr>
            <w:r>
              <w:rPr>
                <w:sz w:val="16"/>
              </w:rPr>
            </w:r>
          </w:p>
        </w:tc>
        <w:tc>
          <w:tcPr>
            <w:tcW w:w="780" w:type="dxa"/>
            <w:tcBorders>
              <w:top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Basic Cable Industry Subscribers</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64,800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66,100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67,300</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68,108</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68,789</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69,339</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69,755</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70,034</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70,174</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 xml:space="preserve">  </w:t>
            </w:r>
            <w:r>
              <w:rPr>
                <w:sz w:val="16"/>
              </w:rPr>
              <w:t>% Change Year-to-Year</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1.8%</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1.2%</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1.0%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0.8%</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0.6%</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0.4%</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0.2%</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 xml:space="preserve">  </w:t>
            </w:r>
            <w:r>
              <w:rPr>
                <w:sz w:val="16"/>
              </w:rPr>
              <w:t>% Homes Passed by Cable</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68.5%</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69.1%</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69.7%</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69.7%</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69.6%</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69.3%</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68.9%</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68.4%</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67.7%</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 xml:space="preserve">  </w:t>
            </w:r>
            <w:r>
              <w:rPr>
                <w:sz w:val="16"/>
              </w:rPr>
              <w:t>% of Total US TV Households</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66.1%</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66.4%</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66.8%</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66.8%</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66.6%</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66.4%</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66.0%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65.5%</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64.8%</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double" w:sz="4" w:space="0" w:color="000000"/>
            </w:tcBorders>
          </w:tcPr>
          <w:p>
            <w:pPr>
              <w:pStyle w:val="Normal"/>
              <w:snapToGrid w:val="false"/>
              <w:jc w:val="end"/>
              <w:rPr>
                <w:sz w:val="16"/>
              </w:rPr>
            </w:pPr>
            <w:r>
              <w:rPr>
                <w:sz w:val="16"/>
              </w:rPr>
            </w:r>
          </w:p>
        </w:tc>
        <w:tc>
          <w:tcPr>
            <w:tcW w:w="780" w:type="dxa"/>
            <w:tcBorders>
              <w:top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Digital Video Ready Homes</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26,149</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57,918</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78,417</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90,003</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94,548</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98,103</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99,899</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101,471</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 xml:space="preserve">  </w:t>
            </w:r>
            <w:r>
              <w:rPr>
                <w:sz w:val="16"/>
              </w:rPr>
              <w:t>% of Homes Passed by Cable</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27.4%</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60%</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80.3%</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91.1%</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94.5%</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96.9%</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97.5%</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97.9%</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New Digital Video Ready Homes</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31,769</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20,499</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11,586</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4,545</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3,555</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1,796</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1,571</w:t>
            </w:r>
          </w:p>
        </w:tc>
      </w:tr>
      <w:tr>
        <w:trPr/>
        <w:tc>
          <w:tcPr>
            <w:tcW w:w="2700" w:type="dxa"/>
            <w:tcBorders>
              <w:top w:val="single" w:sz="4" w:space="0" w:color="000000"/>
              <w:start w:val="single" w:sz="4" w:space="0" w:color="000000"/>
              <w:end w:val="single" w:sz="4" w:space="0" w:color="000000"/>
            </w:tcBorders>
          </w:tcPr>
          <w:p>
            <w:pPr>
              <w:pStyle w:val="Normal"/>
              <w:snapToGrid w:val="false"/>
              <w:rPr>
                <w:sz w:val="16"/>
              </w:rPr>
            </w:pPr>
            <w:r>
              <w:rPr>
                <w:sz w:val="16"/>
              </w:rPr>
            </w:r>
          </w:p>
        </w:tc>
        <w:tc>
          <w:tcPr>
            <w:tcW w:w="780" w:type="dxa"/>
            <w:tcBorders>
              <w:top w:val="single" w:sz="4" w:space="0" w:color="000000"/>
              <w:start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end w:val="double" w:sz="4" w:space="0" w:color="000000"/>
            </w:tcBorders>
          </w:tcPr>
          <w:p>
            <w:pPr>
              <w:pStyle w:val="Normal"/>
              <w:snapToGrid w:val="false"/>
              <w:jc w:val="end"/>
              <w:rPr>
                <w:sz w:val="16"/>
              </w:rPr>
            </w:pPr>
            <w:r>
              <w:rPr>
                <w:sz w:val="16"/>
              </w:rPr>
            </w:r>
          </w:p>
        </w:tc>
        <w:tc>
          <w:tcPr>
            <w:tcW w:w="780" w:type="dxa"/>
            <w:tcBorders>
              <w:top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end w:val="single" w:sz="4" w:space="0" w:color="000000"/>
            </w:tcBorders>
          </w:tcPr>
          <w:p>
            <w:pPr>
              <w:pStyle w:val="Normal"/>
              <w:snapToGrid w:val="false"/>
              <w:jc w:val="end"/>
              <w:rPr>
                <w:sz w:val="16"/>
              </w:rPr>
            </w:pPr>
            <w:r>
              <w:rPr>
                <w:sz w:val="16"/>
              </w:rPr>
            </w:r>
          </w:p>
        </w:tc>
      </w:tr>
      <w:tr>
        <w:trPr/>
        <w:tc>
          <w:tcPr>
            <w:tcW w:w="2700" w:type="dxa"/>
            <w:tcBorders>
              <w:top w:val="single" w:sz="12" w:space="0" w:color="000000"/>
              <w:start w:val="single" w:sz="12" w:space="0" w:color="000000"/>
              <w:bottom w:val="single" w:sz="4" w:space="0" w:color="000000"/>
              <w:end w:val="single" w:sz="4" w:space="0" w:color="000000"/>
            </w:tcBorders>
          </w:tcPr>
          <w:p>
            <w:pPr>
              <w:pStyle w:val="Normal"/>
              <w:rPr>
                <w:sz w:val="16"/>
              </w:rPr>
            </w:pPr>
            <w:r>
              <w:rPr>
                <w:sz w:val="16"/>
              </w:rPr>
              <w:t>Digital Video Subscribers</w:t>
            </w:r>
          </w:p>
        </w:tc>
        <w:tc>
          <w:tcPr>
            <w:tcW w:w="780" w:type="dxa"/>
            <w:tcBorders>
              <w:top w:val="single" w:sz="12" w:space="0" w:color="000000"/>
              <w:start w:val="single" w:sz="4" w:space="0" w:color="000000"/>
              <w:bottom w:val="single" w:sz="4" w:space="0" w:color="000000"/>
              <w:end w:val="single" w:sz="4" w:space="0" w:color="000000"/>
            </w:tcBorders>
          </w:tcPr>
          <w:p>
            <w:pPr>
              <w:pStyle w:val="Normal"/>
              <w:jc w:val="end"/>
              <w:rPr>
                <w:sz w:val="16"/>
              </w:rPr>
            </w:pPr>
            <w:r>
              <w:rPr>
                <w:sz w:val="16"/>
              </w:rPr>
              <w:t>25</w:t>
            </w:r>
          </w:p>
        </w:tc>
        <w:tc>
          <w:tcPr>
            <w:tcW w:w="780" w:type="dxa"/>
            <w:tcBorders>
              <w:top w:val="single" w:sz="12" w:space="0" w:color="000000"/>
              <w:start w:val="single" w:sz="4" w:space="0" w:color="000000"/>
              <w:bottom w:val="single" w:sz="4" w:space="0" w:color="000000"/>
              <w:end w:val="single" w:sz="4" w:space="0" w:color="000000"/>
            </w:tcBorders>
          </w:tcPr>
          <w:p>
            <w:pPr>
              <w:pStyle w:val="Normal"/>
              <w:jc w:val="end"/>
              <w:rPr>
                <w:sz w:val="16"/>
              </w:rPr>
            </w:pPr>
            <w:r>
              <w:rPr>
                <w:sz w:val="16"/>
              </w:rPr>
              <w:t>1,226</w:t>
            </w:r>
          </w:p>
        </w:tc>
        <w:tc>
          <w:tcPr>
            <w:tcW w:w="780" w:type="dxa"/>
            <w:tcBorders>
              <w:top w:val="single" w:sz="12" w:space="0" w:color="000000"/>
              <w:start w:val="single" w:sz="4" w:space="0" w:color="000000"/>
              <w:bottom w:val="single" w:sz="4" w:space="0" w:color="000000"/>
              <w:end w:val="single" w:sz="4" w:space="0" w:color="000000"/>
            </w:tcBorders>
          </w:tcPr>
          <w:p>
            <w:pPr>
              <w:pStyle w:val="Normal"/>
              <w:jc w:val="end"/>
              <w:rPr>
                <w:sz w:val="16"/>
              </w:rPr>
            </w:pPr>
            <w:r>
              <w:rPr>
                <w:sz w:val="16"/>
              </w:rPr>
              <w:t>3,565</w:t>
            </w:r>
          </w:p>
        </w:tc>
        <w:tc>
          <w:tcPr>
            <w:tcW w:w="780" w:type="dxa"/>
            <w:tcBorders>
              <w:top w:val="single" w:sz="12" w:space="0" w:color="000000"/>
              <w:start w:val="single" w:sz="4" w:space="0" w:color="000000"/>
              <w:bottom w:val="single" w:sz="4" w:space="0" w:color="000000"/>
              <w:end w:val="double" w:sz="4" w:space="0" w:color="000000"/>
            </w:tcBorders>
          </w:tcPr>
          <w:p>
            <w:pPr>
              <w:pStyle w:val="Normal"/>
              <w:jc w:val="end"/>
              <w:rPr>
                <w:sz w:val="16"/>
              </w:rPr>
            </w:pPr>
            <w:r>
              <w:rPr>
                <w:sz w:val="16"/>
              </w:rPr>
              <w:t>8,817</w:t>
            </w:r>
          </w:p>
        </w:tc>
        <w:tc>
          <w:tcPr>
            <w:tcW w:w="780" w:type="dxa"/>
            <w:tcBorders>
              <w:top w:val="single" w:sz="12" w:space="0" w:color="000000"/>
              <w:bottom w:val="single" w:sz="4" w:space="0" w:color="000000"/>
              <w:end w:val="single" w:sz="4" w:space="0" w:color="000000"/>
            </w:tcBorders>
          </w:tcPr>
          <w:p>
            <w:pPr>
              <w:pStyle w:val="Normal"/>
              <w:jc w:val="end"/>
              <w:rPr>
                <w:sz w:val="16"/>
              </w:rPr>
            </w:pPr>
            <w:r>
              <w:rPr>
                <w:sz w:val="16"/>
              </w:rPr>
              <w:t>15,220</w:t>
            </w:r>
          </w:p>
        </w:tc>
        <w:tc>
          <w:tcPr>
            <w:tcW w:w="780" w:type="dxa"/>
            <w:tcBorders>
              <w:top w:val="single" w:sz="12" w:space="0" w:color="000000"/>
              <w:start w:val="single" w:sz="4" w:space="0" w:color="000000"/>
              <w:bottom w:val="single" w:sz="4" w:space="0" w:color="000000"/>
              <w:end w:val="single" w:sz="4" w:space="0" w:color="000000"/>
            </w:tcBorders>
          </w:tcPr>
          <w:p>
            <w:pPr>
              <w:pStyle w:val="Normal"/>
              <w:jc w:val="end"/>
              <w:rPr>
                <w:sz w:val="16"/>
              </w:rPr>
            </w:pPr>
            <w:r>
              <w:rPr>
                <w:sz w:val="16"/>
              </w:rPr>
              <w:t>22,752</w:t>
            </w:r>
          </w:p>
        </w:tc>
        <w:tc>
          <w:tcPr>
            <w:tcW w:w="780" w:type="dxa"/>
            <w:tcBorders>
              <w:top w:val="single" w:sz="12" w:space="0" w:color="000000"/>
              <w:start w:val="single" w:sz="4" w:space="0" w:color="000000"/>
              <w:bottom w:val="single" w:sz="4" w:space="0" w:color="000000"/>
              <w:end w:val="single" w:sz="4" w:space="0" w:color="000000"/>
            </w:tcBorders>
          </w:tcPr>
          <w:p>
            <w:pPr>
              <w:pStyle w:val="Normal"/>
              <w:jc w:val="end"/>
              <w:rPr>
                <w:sz w:val="16"/>
              </w:rPr>
            </w:pPr>
            <w:r>
              <w:rPr>
                <w:sz w:val="16"/>
              </w:rPr>
              <w:t>29,587</w:t>
            </w:r>
          </w:p>
        </w:tc>
        <w:tc>
          <w:tcPr>
            <w:tcW w:w="780" w:type="dxa"/>
            <w:tcBorders>
              <w:top w:val="single" w:sz="12" w:space="0" w:color="000000"/>
              <w:start w:val="single" w:sz="4" w:space="0" w:color="000000"/>
              <w:bottom w:val="single" w:sz="4" w:space="0" w:color="000000"/>
              <w:end w:val="single" w:sz="4" w:space="0" w:color="000000"/>
            </w:tcBorders>
          </w:tcPr>
          <w:p>
            <w:pPr>
              <w:pStyle w:val="Normal"/>
              <w:jc w:val="end"/>
              <w:rPr>
                <w:sz w:val="16"/>
              </w:rPr>
            </w:pPr>
            <w:r>
              <w:rPr>
                <w:sz w:val="16"/>
              </w:rPr>
              <w:t>35,972</w:t>
            </w:r>
          </w:p>
        </w:tc>
        <w:tc>
          <w:tcPr>
            <w:tcW w:w="780" w:type="dxa"/>
            <w:tcBorders>
              <w:top w:val="single" w:sz="12" w:space="0" w:color="000000"/>
              <w:start w:val="single" w:sz="4" w:space="0" w:color="000000"/>
              <w:bottom w:val="single" w:sz="4" w:space="0" w:color="000000"/>
              <w:end w:val="single" w:sz="12" w:space="0" w:color="000000"/>
            </w:tcBorders>
          </w:tcPr>
          <w:p>
            <w:pPr>
              <w:pStyle w:val="Normal"/>
              <w:jc w:val="end"/>
              <w:rPr>
                <w:sz w:val="16"/>
              </w:rPr>
            </w:pPr>
            <w:r>
              <w:rPr>
                <w:sz w:val="16"/>
              </w:rPr>
              <w:t>41,393</w:t>
            </w:r>
          </w:p>
        </w:tc>
      </w:tr>
      <w:tr>
        <w:trPr/>
        <w:tc>
          <w:tcPr>
            <w:tcW w:w="2700" w:type="dxa"/>
            <w:tcBorders>
              <w:top w:val="single" w:sz="4" w:space="0" w:color="000000"/>
              <w:start w:val="single" w:sz="12" w:space="0" w:color="000000"/>
              <w:bottom w:val="single" w:sz="4" w:space="0" w:color="000000"/>
              <w:end w:val="single" w:sz="4" w:space="0" w:color="000000"/>
            </w:tcBorders>
          </w:tcPr>
          <w:p>
            <w:pPr>
              <w:pStyle w:val="Normal"/>
              <w:rPr>
                <w:sz w:val="16"/>
              </w:rPr>
            </w:pPr>
            <w:r>
              <w:rPr>
                <w:sz w:val="16"/>
              </w:rPr>
              <w:t xml:space="preserve">  </w:t>
            </w:r>
            <w:r>
              <w:rPr>
                <w:sz w:val="16"/>
              </w:rPr>
              <w:t>% Change Year-to-Year</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190.8%</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147.3%</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72.6%</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49.5%</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30.0%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21.6%</w:t>
            </w:r>
          </w:p>
        </w:tc>
        <w:tc>
          <w:tcPr>
            <w:tcW w:w="780" w:type="dxa"/>
            <w:tcBorders>
              <w:top w:val="single" w:sz="4" w:space="0" w:color="000000"/>
              <w:start w:val="single" w:sz="4" w:space="0" w:color="000000"/>
              <w:bottom w:val="single" w:sz="4" w:space="0" w:color="000000"/>
              <w:end w:val="single" w:sz="12" w:space="0" w:color="000000"/>
            </w:tcBorders>
          </w:tcPr>
          <w:p>
            <w:pPr>
              <w:pStyle w:val="Normal"/>
              <w:jc w:val="end"/>
              <w:rPr>
                <w:sz w:val="16"/>
              </w:rPr>
            </w:pPr>
            <w:r>
              <w:rPr>
                <w:sz w:val="16"/>
              </w:rPr>
              <w:t>15.1%</w:t>
            </w:r>
          </w:p>
        </w:tc>
      </w:tr>
      <w:tr>
        <w:trPr/>
        <w:tc>
          <w:tcPr>
            <w:tcW w:w="2700" w:type="dxa"/>
            <w:tcBorders>
              <w:top w:val="single" w:sz="4" w:space="0" w:color="000000"/>
              <w:start w:val="single" w:sz="12" w:space="0" w:color="000000"/>
              <w:bottom w:val="single" w:sz="4" w:space="0" w:color="000000"/>
              <w:end w:val="single" w:sz="4" w:space="0" w:color="000000"/>
            </w:tcBorders>
          </w:tcPr>
          <w:p>
            <w:pPr>
              <w:pStyle w:val="Normal"/>
              <w:rPr>
                <w:sz w:val="16"/>
              </w:rPr>
            </w:pPr>
            <w:r>
              <w:rPr>
                <w:sz w:val="16"/>
              </w:rPr>
              <w:t xml:space="preserve">  </w:t>
            </w:r>
            <w:r>
              <w:rPr>
                <w:sz w:val="16"/>
              </w:rPr>
              <w:t>% of Basic Cable Subscribers</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0.0%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1.9%</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5.3%</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12.9%</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22.1%</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32.8%</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42.4%</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51.4%</w:t>
            </w:r>
          </w:p>
        </w:tc>
        <w:tc>
          <w:tcPr>
            <w:tcW w:w="780" w:type="dxa"/>
            <w:tcBorders>
              <w:top w:val="single" w:sz="4" w:space="0" w:color="000000"/>
              <w:start w:val="single" w:sz="4" w:space="0" w:color="000000"/>
              <w:bottom w:val="single" w:sz="4" w:space="0" w:color="000000"/>
              <w:end w:val="single" w:sz="12" w:space="0" w:color="000000"/>
            </w:tcBorders>
          </w:tcPr>
          <w:p>
            <w:pPr>
              <w:pStyle w:val="Normal"/>
              <w:jc w:val="end"/>
              <w:rPr>
                <w:sz w:val="16"/>
              </w:rPr>
            </w:pPr>
            <w:r>
              <w:rPr>
                <w:sz w:val="16"/>
              </w:rPr>
              <w:t>59.0%</w:t>
            </w:r>
          </w:p>
        </w:tc>
      </w:tr>
      <w:tr>
        <w:trPr/>
        <w:tc>
          <w:tcPr>
            <w:tcW w:w="2700" w:type="dxa"/>
            <w:tcBorders>
              <w:top w:val="single" w:sz="4" w:space="0" w:color="000000"/>
              <w:start w:val="single" w:sz="12" w:space="0" w:color="000000"/>
              <w:bottom w:val="single" w:sz="4" w:space="0" w:color="000000"/>
              <w:end w:val="single" w:sz="4" w:space="0" w:color="000000"/>
            </w:tcBorders>
          </w:tcPr>
          <w:p>
            <w:pPr>
              <w:pStyle w:val="Normal"/>
              <w:rPr>
                <w:sz w:val="16"/>
              </w:rPr>
            </w:pPr>
            <w:r>
              <w:rPr>
                <w:sz w:val="16"/>
              </w:rPr>
              <w:t xml:space="preserve">  </w:t>
            </w:r>
            <w:r>
              <w:rPr>
                <w:sz w:val="16"/>
              </w:rPr>
              <w:t>% of Digital Video Ready Homes</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4.7%</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6.2%</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11.2%</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16.9%</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24.1%</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30.2%</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36.0%</w:t>
            </w:r>
          </w:p>
        </w:tc>
        <w:tc>
          <w:tcPr>
            <w:tcW w:w="780" w:type="dxa"/>
            <w:tcBorders>
              <w:top w:val="single" w:sz="4" w:space="0" w:color="000000"/>
              <w:start w:val="single" w:sz="4" w:space="0" w:color="000000"/>
              <w:bottom w:val="single" w:sz="4" w:space="0" w:color="000000"/>
              <w:end w:val="single" w:sz="12" w:space="0" w:color="000000"/>
            </w:tcBorders>
          </w:tcPr>
          <w:p>
            <w:pPr>
              <w:pStyle w:val="Normal"/>
              <w:jc w:val="end"/>
              <w:rPr>
                <w:sz w:val="16"/>
              </w:rPr>
            </w:pPr>
            <w:r>
              <w:rPr>
                <w:sz w:val="16"/>
              </w:rPr>
              <w:t>40.8%</w:t>
            </w:r>
          </w:p>
        </w:tc>
      </w:tr>
      <w:tr>
        <w:trPr/>
        <w:tc>
          <w:tcPr>
            <w:tcW w:w="2700" w:type="dxa"/>
            <w:tcBorders>
              <w:top w:val="single" w:sz="4" w:space="0" w:color="000000"/>
              <w:start w:val="single" w:sz="12" w:space="0" w:color="000000"/>
              <w:bottom w:val="single" w:sz="4" w:space="0" w:color="000000"/>
              <w:end w:val="single" w:sz="4" w:space="0" w:color="000000"/>
            </w:tcBorders>
          </w:tcPr>
          <w:p>
            <w:pPr>
              <w:pStyle w:val="Normal"/>
              <w:rPr>
                <w:sz w:val="16"/>
              </w:rPr>
            </w:pPr>
            <w:r>
              <w:rPr>
                <w:sz w:val="16"/>
              </w:rPr>
              <w:t xml:space="preserve">  </w:t>
            </w:r>
            <w:r>
              <w:rPr>
                <w:sz w:val="16"/>
              </w:rPr>
              <w:t>% of Homes Passed by Cable</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0.0%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1.3%</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3.7%</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9.0%</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15.4%</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22.7%</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29.2%</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35.1%</w:t>
            </w:r>
          </w:p>
        </w:tc>
        <w:tc>
          <w:tcPr>
            <w:tcW w:w="780" w:type="dxa"/>
            <w:tcBorders>
              <w:top w:val="single" w:sz="4" w:space="0" w:color="000000"/>
              <w:start w:val="single" w:sz="4" w:space="0" w:color="000000"/>
              <w:bottom w:val="single" w:sz="4" w:space="0" w:color="000000"/>
              <w:end w:val="single" w:sz="12" w:space="0" w:color="000000"/>
            </w:tcBorders>
          </w:tcPr>
          <w:p>
            <w:pPr>
              <w:pStyle w:val="Normal"/>
              <w:jc w:val="end"/>
              <w:rPr>
                <w:sz w:val="16"/>
              </w:rPr>
            </w:pPr>
            <w:r>
              <w:rPr>
                <w:sz w:val="16"/>
              </w:rPr>
              <w:t>39.9%</w:t>
            </w:r>
          </w:p>
        </w:tc>
      </w:tr>
      <w:tr>
        <w:trPr/>
        <w:tc>
          <w:tcPr>
            <w:tcW w:w="2700" w:type="dxa"/>
            <w:tcBorders>
              <w:top w:val="single" w:sz="4" w:space="0" w:color="000000"/>
              <w:start w:val="single" w:sz="12" w:space="0" w:color="000000"/>
              <w:bottom w:val="single" w:sz="12" w:space="0" w:color="000000"/>
              <w:end w:val="single" w:sz="4" w:space="0" w:color="000000"/>
            </w:tcBorders>
          </w:tcPr>
          <w:p>
            <w:pPr>
              <w:pStyle w:val="Normal"/>
              <w:rPr>
                <w:sz w:val="16"/>
              </w:rPr>
            </w:pPr>
            <w:r>
              <w:rPr>
                <w:sz w:val="16"/>
              </w:rPr>
              <w:t>Net Additions</w:t>
            </w:r>
          </w:p>
        </w:tc>
        <w:tc>
          <w:tcPr>
            <w:tcW w:w="780" w:type="dxa"/>
            <w:tcBorders>
              <w:top w:val="single" w:sz="4" w:space="0" w:color="000000"/>
              <w:start w:val="single" w:sz="4" w:space="0" w:color="000000"/>
              <w:end w:val="single" w:sz="4" w:space="0" w:color="000000"/>
            </w:tcBorders>
          </w:tcPr>
          <w:p>
            <w:pPr>
              <w:pStyle w:val="Normal"/>
              <w:jc w:val="end"/>
              <w:rPr>
                <w:sz w:val="16"/>
              </w:rPr>
            </w:pPr>
            <w:r>
              <w:rPr>
                <w:sz w:val="16"/>
              </w:rPr>
              <w:t>25</w:t>
            </w:r>
          </w:p>
        </w:tc>
        <w:tc>
          <w:tcPr>
            <w:tcW w:w="780" w:type="dxa"/>
            <w:tcBorders>
              <w:top w:val="single" w:sz="4" w:space="0" w:color="000000"/>
              <w:start w:val="single" w:sz="4" w:space="0" w:color="000000"/>
              <w:end w:val="single" w:sz="4" w:space="0" w:color="000000"/>
            </w:tcBorders>
          </w:tcPr>
          <w:p>
            <w:pPr>
              <w:pStyle w:val="Normal"/>
              <w:jc w:val="end"/>
              <w:rPr>
                <w:sz w:val="16"/>
              </w:rPr>
            </w:pPr>
            <w:r>
              <w:rPr>
                <w:sz w:val="16"/>
              </w:rPr>
              <w:t>1,201</w:t>
            </w:r>
          </w:p>
        </w:tc>
        <w:tc>
          <w:tcPr>
            <w:tcW w:w="780" w:type="dxa"/>
            <w:tcBorders>
              <w:top w:val="single" w:sz="4" w:space="0" w:color="000000"/>
              <w:start w:val="single" w:sz="4" w:space="0" w:color="000000"/>
              <w:end w:val="single" w:sz="4" w:space="0" w:color="000000"/>
            </w:tcBorders>
          </w:tcPr>
          <w:p>
            <w:pPr>
              <w:pStyle w:val="Normal"/>
              <w:jc w:val="end"/>
              <w:rPr>
                <w:sz w:val="16"/>
              </w:rPr>
            </w:pPr>
            <w:r>
              <w:rPr>
                <w:sz w:val="16"/>
              </w:rPr>
              <w:t>2,339</w:t>
            </w:r>
          </w:p>
        </w:tc>
        <w:tc>
          <w:tcPr>
            <w:tcW w:w="780" w:type="dxa"/>
            <w:tcBorders>
              <w:top w:val="single" w:sz="4" w:space="0" w:color="000000"/>
              <w:start w:val="single" w:sz="4" w:space="0" w:color="000000"/>
              <w:end w:val="double" w:sz="4" w:space="0" w:color="000000"/>
            </w:tcBorders>
          </w:tcPr>
          <w:p>
            <w:pPr>
              <w:pStyle w:val="Normal"/>
              <w:jc w:val="end"/>
              <w:rPr>
                <w:sz w:val="16"/>
              </w:rPr>
            </w:pPr>
            <w:r>
              <w:rPr>
                <w:sz w:val="16"/>
              </w:rPr>
              <w:t>5,252</w:t>
            </w:r>
          </w:p>
        </w:tc>
        <w:tc>
          <w:tcPr>
            <w:tcW w:w="780" w:type="dxa"/>
            <w:tcBorders>
              <w:top w:val="single" w:sz="4" w:space="0" w:color="000000"/>
              <w:end w:val="single" w:sz="4" w:space="0" w:color="000000"/>
            </w:tcBorders>
          </w:tcPr>
          <w:p>
            <w:pPr>
              <w:pStyle w:val="Normal"/>
              <w:jc w:val="end"/>
              <w:rPr>
                <w:sz w:val="16"/>
              </w:rPr>
            </w:pPr>
            <w:r>
              <w:rPr>
                <w:sz w:val="16"/>
              </w:rPr>
              <w:t>6,403</w:t>
            </w:r>
          </w:p>
        </w:tc>
        <w:tc>
          <w:tcPr>
            <w:tcW w:w="780" w:type="dxa"/>
            <w:tcBorders>
              <w:top w:val="single" w:sz="4" w:space="0" w:color="000000"/>
              <w:start w:val="single" w:sz="4" w:space="0" w:color="000000"/>
              <w:end w:val="single" w:sz="4" w:space="0" w:color="000000"/>
            </w:tcBorders>
          </w:tcPr>
          <w:p>
            <w:pPr>
              <w:pStyle w:val="Normal"/>
              <w:jc w:val="end"/>
              <w:rPr>
                <w:sz w:val="16"/>
              </w:rPr>
            </w:pPr>
            <w:r>
              <w:rPr>
                <w:sz w:val="16"/>
              </w:rPr>
              <w:t>7,532</w:t>
            </w:r>
          </w:p>
        </w:tc>
        <w:tc>
          <w:tcPr>
            <w:tcW w:w="780" w:type="dxa"/>
            <w:tcBorders>
              <w:top w:val="single" w:sz="4" w:space="0" w:color="000000"/>
              <w:start w:val="single" w:sz="4" w:space="0" w:color="000000"/>
              <w:end w:val="single" w:sz="4" w:space="0" w:color="000000"/>
            </w:tcBorders>
          </w:tcPr>
          <w:p>
            <w:pPr>
              <w:pStyle w:val="Normal"/>
              <w:jc w:val="end"/>
              <w:rPr>
                <w:sz w:val="16"/>
              </w:rPr>
            </w:pPr>
            <w:r>
              <w:rPr>
                <w:sz w:val="16"/>
              </w:rPr>
              <w:t>6,835</w:t>
            </w:r>
          </w:p>
        </w:tc>
        <w:tc>
          <w:tcPr>
            <w:tcW w:w="780" w:type="dxa"/>
            <w:tcBorders>
              <w:top w:val="single" w:sz="4" w:space="0" w:color="000000"/>
              <w:start w:val="single" w:sz="4" w:space="0" w:color="000000"/>
              <w:end w:val="single" w:sz="4" w:space="0" w:color="000000"/>
            </w:tcBorders>
          </w:tcPr>
          <w:p>
            <w:pPr>
              <w:pStyle w:val="Normal"/>
              <w:jc w:val="end"/>
              <w:rPr>
                <w:sz w:val="16"/>
              </w:rPr>
            </w:pPr>
            <w:r>
              <w:rPr>
                <w:sz w:val="16"/>
              </w:rPr>
              <w:t>6,386</w:t>
            </w:r>
          </w:p>
        </w:tc>
        <w:tc>
          <w:tcPr>
            <w:tcW w:w="780" w:type="dxa"/>
            <w:tcBorders>
              <w:top w:val="single" w:sz="4" w:space="0" w:color="000000"/>
              <w:start w:val="single" w:sz="4" w:space="0" w:color="000000"/>
              <w:bottom w:val="single" w:sz="12" w:space="0" w:color="000000"/>
              <w:end w:val="single" w:sz="12" w:space="0" w:color="000000"/>
            </w:tcBorders>
          </w:tcPr>
          <w:p>
            <w:pPr>
              <w:pStyle w:val="Normal"/>
              <w:jc w:val="end"/>
              <w:rPr>
                <w:sz w:val="16"/>
              </w:rPr>
            </w:pPr>
            <w:r>
              <w:rPr>
                <w:sz w:val="16"/>
              </w:rPr>
              <w:t>5,421</w:t>
            </w:r>
          </w:p>
        </w:tc>
      </w:tr>
      <w:tr>
        <w:trPr/>
        <w:tc>
          <w:tcPr>
            <w:tcW w:w="2700" w:type="dxa"/>
            <w:tcBorders>
              <w:start w:val="single" w:sz="4" w:space="0" w:color="000000"/>
              <w:bottom w:val="single" w:sz="4" w:space="0" w:color="000000"/>
              <w:end w:val="single" w:sz="4" w:space="0" w:color="000000"/>
            </w:tcBorders>
          </w:tcPr>
          <w:p>
            <w:pPr>
              <w:pStyle w:val="Normal"/>
              <w:snapToGrid w:val="false"/>
              <w:rPr>
                <w:sz w:val="16"/>
              </w:rPr>
            </w:pPr>
            <w:r>
              <w:rPr>
                <w:sz w:val="16"/>
              </w:rPr>
            </w:r>
          </w:p>
        </w:tc>
        <w:tc>
          <w:tcPr>
            <w:tcW w:w="780" w:type="dxa"/>
            <w:tcBorders>
              <w:top w:val="single" w:sz="12"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12"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12"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12" w:space="0" w:color="000000"/>
              <w:start w:val="single" w:sz="4" w:space="0" w:color="000000"/>
              <w:bottom w:val="single" w:sz="4" w:space="0" w:color="000000"/>
              <w:end w:val="double" w:sz="4" w:space="0" w:color="000000"/>
            </w:tcBorders>
          </w:tcPr>
          <w:p>
            <w:pPr>
              <w:pStyle w:val="Normal"/>
              <w:snapToGrid w:val="false"/>
              <w:jc w:val="end"/>
              <w:rPr>
                <w:sz w:val="16"/>
              </w:rPr>
            </w:pPr>
            <w:r>
              <w:rPr>
                <w:sz w:val="16"/>
              </w:rPr>
            </w:r>
          </w:p>
        </w:tc>
        <w:tc>
          <w:tcPr>
            <w:tcW w:w="780" w:type="dxa"/>
            <w:tcBorders>
              <w:top w:val="single" w:sz="12"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12"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12"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12"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start w:val="single" w:sz="4" w:space="0" w:color="000000"/>
              <w:bottom w:val="single" w:sz="4" w:space="0" w:color="000000"/>
              <w:end w:val="single" w:sz="4" w:space="0" w:color="000000"/>
            </w:tcBorders>
          </w:tcPr>
          <w:p>
            <w:pPr>
              <w:pStyle w:val="Normal"/>
              <w:snapToGrid w:val="false"/>
              <w:jc w:val="end"/>
              <w:rPr>
                <w:sz w:val="16"/>
              </w:rPr>
            </w:pPr>
            <w:r>
              <w:rPr>
                <w:sz w:val="16"/>
              </w:rPr>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PC Households</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46,500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53,000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57,700</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61,900</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64,700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67,500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69,500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71,500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73,500</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 xml:space="preserve">  </w:t>
            </w:r>
            <w:r>
              <w:rPr>
                <w:sz w:val="16"/>
              </w:rPr>
              <w:t>% of Total US TV Households</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45.9%</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51.7%</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55.6%</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59.0%</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60.9%</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62.8%</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63.9%</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64.9%</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66.0%</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double" w:sz="4" w:space="0" w:color="000000"/>
            </w:tcBorders>
          </w:tcPr>
          <w:p>
            <w:pPr>
              <w:pStyle w:val="Normal"/>
              <w:snapToGrid w:val="false"/>
              <w:jc w:val="end"/>
              <w:rPr>
                <w:sz w:val="16"/>
              </w:rPr>
            </w:pPr>
            <w:r>
              <w:rPr>
                <w:sz w:val="16"/>
              </w:rPr>
            </w:r>
          </w:p>
        </w:tc>
        <w:tc>
          <w:tcPr>
            <w:tcW w:w="780" w:type="dxa"/>
            <w:tcBorders>
              <w:top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On-Line Households</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27,400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37,600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44,900</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51,500</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57,200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62,200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66,700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70,200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73,200</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 xml:space="preserve">  </w:t>
            </w:r>
            <w:r>
              <w:rPr>
                <w:sz w:val="16"/>
              </w:rPr>
              <w:t>% of Homes Passed by Cable</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58.9%</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70.9%</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77.8%</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83.2%</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88.4%</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92.1%</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96.0%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98.2%</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99.6%</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 xml:space="preserve">  </w:t>
            </w:r>
            <w:r>
              <w:rPr>
                <w:sz w:val="16"/>
              </w:rPr>
              <w:t>% of Total US Households</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27%</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36.7%</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43.3%</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49.1%</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53.8%</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57.9%</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61.3%</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63.8%</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65.7%</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double" w:sz="4" w:space="0" w:color="000000"/>
            </w:tcBorders>
          </w:tcPr>
          <w:p>
            <w:pPr>
              <w:pStyle w:val="Normal"/>
              <w:snapToGrid w:val="false"/>
              <w:jc w:val="end"/>
              <w:rPr>
                <w:sz w:val="16"/>
              </w:rPr>
            </w:pPr>
            <w:r>
              <w:rPr>
                <w:sz w:val="16"/>
              </w:rPr>
            </w:r>
          </w:p>
        </w:tc>
        <w:tc>
          <w:tcPr>
            <w:tcW w:w="780" w:type="dxa"/>
            <w:tcBorders>
              <w:top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Cable Modem Ready Homes</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8,000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17,428</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35,560</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61,047</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78,938</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86,671</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92,153</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94,520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96,371</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 xml:space="preserve">  </w:t>
            </w:r>
            <w:r>
              <w:rPr>
                <w:sz w:val="16"/>
              </w:rPr>
              <w:t>% of Homes Passed by Cable</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8.5%</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18.2%</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36.8%</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62.5%</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79.9%</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86.7%</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91.0%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92.3%</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93.0%</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New Cable Modem Ready Homes</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9,428</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18,132</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25,487</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17,891</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7,732</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5,482</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2,366</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1,852</w:t>
            </w:r>
          </w:p>
        </w:tc>
      </w:tr>
      <w:tr>
        <w:trPr/>
        <w:tc>
          <w:tcPr>
            <w:tcW w:w="2700" w:type="dxa"/>
            <w:tcBorders>
              <w:top w:val="single" w:sz="4" w:space="0" w:color="000000"/>
              <w:start w:val="single" w:sz="4" w:space="0" w:color="000000"/>
              <w:end w:val="single" w:sz="4" w:space="0" w:color="000000"/>
            </w:tcBorders>
          </w:tcPr>
          <w:p>
            <w:pPr>
              <w:pStyle w:val="Normal"/>
              <w:snapToGrid w:val="false"/>
              <w:rPr>
                <w:sz w:val="16"/>
              </w:rPr>
            </w:pPr>
            <w:r>
              <w:rPr>
                <w:sz w:val="16"/>
              </w:rPr>
            </w:r>
          </w:p>
        </w:tc>
        <w:tc>
          <w:tcPr>
            <w:tcW w:w="780" w:type="dxa"/>
            <w:tcBorders>
              <w:top w:val="single" w:sz="4" w:space="0" w:color="000000"/>
              <w:start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end w:val="double" w:sz="4" w:space="0" w:color="000000"/>
            </w:tcBorders>
          </w:tcPr>
          <w:p>
            <w:pPr>
              <w:pStyle w:val="Normal"/>
              <w:snapToGrid w:val="false"/>
              <w:jc w:val="end"/>
              <w:rPr>
                <w:sz w:val="16"/>
              </w:rPr>
            </w:pPr>
            <w:r>
              <w:rPr>
                <w:sz w:val="16"/>
              </w:rPr>
            </w:r>
          </w:p>
        </w:tc>
        <w:tc>
          <w:tcPr>
            <w:tcW w:w="780" w:type="dxa"/>
            <w:tcBorders>
              <w:top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end w:val="single" w:sz="4" w:space="0" w:color="000000"/>
            </w:tcBorders>
          </w:tcPr>
          <w:p>
            <w:pPr>
              <w:pStyle w:val="Normal"/>
              <w:snapToGrid w:val="false"/>
              <w:jc w:val="end"/>
              <w:rPr>
                <w:sz w:val="16"/>
              </w:rPr>
            </w:pPr>
            <w:r>
              <w:rPr>
                <w:sz w:val="16"/>
              </w:rPr>
            </w:r>
          </w:p>
        </w:tc>
      </w:tr>
      <w:tr>
        <w:trPr/>
        <w:tc>
          <w:tcPr>
            <w:tcW w:w="2700" w:type="dxa"/>
            <w:tcBorders>
              <w:top w:val="single" w:sz="12" w:space="0" w:color="000000"/>
              <w:start w:val="single" w:sz="12" w:space="0" w:color="000000"/>
              <w:bottom w:val="single" w:sz="4" w:space="0" w:color="000000"/>
              <w:end w:val="single" w:sz="4" w:space="0" w:color="000000"/>
            </w:tcBorders>
          </w:tcPr>
          <w:p>
            <w:pPr>
              <w:pStyle w:val="Normal"/>
              <w:rPr>
                <w:sz w:val="16"/>
              </w:rPr>
            </w:pPr>
            <w:r>
              <w:rPr>
                <w:sz w:val="16"/>
              </w:rPr>
              <w:t>Cable Modem Subscribers</w:t>
            </w:r>
          </w:p>
        </w:tc>
        <w:tc>
          <w:tcPr>
            <w:tcW w:w="780" w:type="dxa"/>
            <w:tcBorders>
              <w:top w:val="single" w:sz="12" w:space="0" w:color="000000"/>
              <w:start w:val="single" w:sz="4" w:space="0" w:color="000000"/>
              <w:bottom w:val="single" w:sz="4" w:space="0" w:color="000000"/>
              <w:end w:val="single" w:sz="4" w:space="0" w:color="000000"/>
            </w:tcBorders>
          </w:tcPr>
          <w:p>
            <w:pPr>
              <w:pStyle w:val="Normal"/>
              <w:jc w:val="end"/>
              <w:rPr>
                <w:sz w:val="16"/>
              </w:rPr>
            </w:pPr>
            <w:r>
              <w:rPr>
                <w:sz w:val="16"/>
              </w:rPr>
              <w:t>88</w:t>
            </w:r>
          </w:p>
        </w:tc>
        <w:tc>
          <w:tcPr>
            <w:tcW w:w="780" w:type="dxa"/>
            <w:tcBorders>
              <w:top w:val="single" w:sz="12" w:space="0" w:color="000000"/>
              <w:start w:val="single" w:sz="4" w:space="0" w:color="000000"/>
              <w:bottom w:val="single" w:sz="4" w:space="0" w:color="000000"/>
              <w:end w:val="single" w:sz="4" w:space="0" w:color="000000"/>
            </w:tcBorders>
          </w:tcPr>
          <w:p>
            <w:pPr>
              <w:pStyle w:val="Normal"/>
              <w:jc w:val="end"/>
              <w:rPr>
                <w:sz w:val="16"/>
              </w:rPr>
            </w:pPr>
            <w:r>
              <w:rPr>
                <w:sz w:val="16"/>
              </w:rPr>
              <w:t>385</w:t>
            </w:r>
          </w:p>
        </w:tc>
        <w:tc>
          <w:tcPr>
            <w:tcW w:w="780" w:type="dxa"/>
            <w:tcBorders>
              <w:top w:val="single" w:sz="12" w:space="0" w:color="000000"/>
              <w:start w:val="single" w:sz="4" w:space="0" w:color="000000"/>
              <w:bottom w:val="single" w:sz="4" w:space="0" w:color="000000"/>
              <w:end w:val="single" w:sz="4" w:space="0" w:color="000000"/>
            </w:tcBorders>
          </w:tcPr>
          <w:p>
            <w:pPr>
              <w:pStyle w:val="Normal"/>
              <w:jc w:val="end"/>
              <w:rPr>
                <w:sz w:val="16"/>
              </w:rPr>
            </w:pPr>
            <w:r>
              <w:rPr>
                <w:sz w:val="16"/>
              </w:rPr>
              <w:t>1,295</w:t>
            </w:r>
          </w:p>
        </w:tc>
        <w:tc>
          <w:tcPr>
            <w:tcW w:w="780" w:type="dxa"/>
            <w:tcBorders>
              <w:top w:val="single" w:sz="12" w:space="0" w:color="000000"/>
              <w:start w:val="single" w:sz="4" w:space="0" w:color="000000"/>
              <w:bottom w:val="single" w:sz="4" w:space="0" w:color="000000"/>
              <w:end w:val="double" w:sz="4" w:space="0" w:color="000000"/>
            </w:tcBorders>
          </w:tcPr>
          <w:p>
            <w:pPr>
              <w:pStyle w:val="Normal"/>
              <w:jc w:val="end"/>
              <w:rPr>
                <w:sz w:val="16"/>
              </w:rPr>
            </w:pPr>
            <w:r>
              <w:rPr>
                <w:sz w:val="16"/>
              </w:rPr>
              <w:t>3,809</w:t>
            </w:r>
          </w:p>
        </w:tc>
        <w:tc>
          <w:tcPr>
            <w:tcW w:w="780" w:type="dxa"/>
            <w:tcBorders>
              <w:top w:val="single" w:sz="12" w:space="0" w:color="000000"/>
              <w:bottom w:val="single" w:sz="4" w:space="0" w:color="000000"/>
              <w:end w:val="single" w:sz="4" w:space="0" w:color="000000"/>
            </w:tcBorders>
          </w:tcPr>
          <w:p>
            <w:pPr>
              <w:pStyle w:val="Normal"/>
              <w:jc w:val="end"/>
              <w:rPr>
                <w:sz w:val="16"/>
              </w:rPr>
            </w:pPr>
            <w:r>
              <w:rPr>
                <w:sz w:val="16"/>
              </w:rPr>
              <w:t>7,084</w:t>
            </w:r>
          </w:p>
        </w:tc>
        <w:tc>
          <w:tcPr>
            <w:tcW w:w="780" w:type="dxa"/>
            <w:tcBorders>
              <w:top w:val="single" w:sz="12" w:space="0" w:color="000000"/>
              <w:start w:val="single" w:sz="4" w:space="0" w:color="000000"/>
              <w:bottom w:val="single" w:sz="4" w:space="0" w:color="000000"/>
              <w:end w:val="single" w:sz="4" w:space="0" w:color="000000"/>
            </w:tcBorders>
          </w:tcPr>
          <w:p>
            <w:pPr>
              <w:pStyle w:val="Normal"/>
              <w:jc w:val="end"/>
              <w:rPr>
                <w:sz w:val="16"/>
              </w:rPr>
            </w:pPr>
            <w:r>
              <w:rPr>
                <w:sz w:val="16"/>
              </w:rPr>
              <w:t>11,207</w:t>
            </w:r>
          </w:p>
        </w:tc>
        <w:tc>
          <w:tcPr>
            <w:tcW w:w="780" w:type="dxa"/>
            <w:tcBorders>
              <w:top w:val="single" w:sz="12" w:space="0" w:color="000000"/>
              <w:start w:val="single" w:sz="4" w:space="0" w:color="000000"/>
              <w:bottom w:val="single" w:sz="4" w:space="0" w:color="000000"/>
              <w:end w:val="single" w:sz="4" w:space="0" w:color="000000"/>
            </w:tcBorders>
          </w:tcPr>
          <w:p>
            <w:pPr>
              <w:pStyle w:val="Normal"/>
              <w:jc w:val="end"/>
              <w:rPr>
                <w:sz w:val="16"/>
              </w:rPr>
            </w:pPr>
            <w:r>
              <w:rPr>
                <w:sz w:val="16"/>
              </w:rPr>
              <w:t>15,655</w:t>
            </w:r>
          </w:p>
        </w:tc>
        <w:tc>
          <w:tcPr>
            <w:tcW w:w="780" w:type="dxa"/>
            <w:tcBorders>
              <w:top w:val="single" w:sz="12" w:space="0" w:color="000000"/>
              <w:start w:val="single" w:sz="4" w:space="0" w:color="000000"/>
              <w:bottom w:val="single" w:sz="4" w:space="0" w:color="000000"/>
              <w:end w:val="single" w:sz="4" w:space="0" w:color="000000"/>
            </w:tcBorders>
          </w:tcPr>
          <w:p>
            <w:pPr>
              <w:pStyle w:val="Normal"/>
              <w:jc w:val="end"/>
              <w:rPr>
                <w:sz w:val="16"/>
              </w:rPr>
            </w:pPr>
            <w:r>
              <w:rPr>
                <w:sz w:val="16"/>
              </w:rPr>
              <w:t>19,936</w:t>
            </w:r>
          </w:p>
        </w:tc>
        <w:tc>
          <w:tcPr>
            <w:tcW w:w="780" w:type="dxa"/>
            <w:tcBorders>
              <w:top w:val="single" w:sz="12" w:space="0" w:color="000000"/>
              <w:start w:val="single" w:sz="4" w:space="0" w:color="000000"/>
              <w:bottom w:val="single" w:sz="4" w:space="0" w:color="000000"/>
              <w:end w:val="single" w:sz="12" w:space="0" w:color="000000"/>
            </w:tcBorders>
          </w:tcPr>
          <w:p>
            <w:pPr>
              <w:pStyle w:val="Normal"/>
              <w:jc w:val="end"/>
              <w:rPr>
                <w:sz w:val="16"/>
              </w:rPr>
            </w:pPr>
            <w:r>
              <w:rPr>
                <w:sz w:val="16"/>
              </w:rPr>
              <w:t>23,745</w:t>
            </w:r>
          </w:p>
        </w:tc>
      </w:tr>
      <w:tr>
        <w:trPr/>
        <w:tc>
          <w:tcPr>
            <w:tcW w:w="2700" w:type="dxa"/>
            <w:tcBorders>
              <w:top w:val="single" w:sz="4" w:space="0" w:color="000000"/>
              <w:start w:val="single" w:sz="12" w:space="0" w:color="000000"/>
              <w:bottom w:val="single" w:sz="4" w:space="0" w:color="000000"/>
              <w:end w:val="single" w:sz="4" w:space="0" w:color="000000"/>
            </w:tcBorders>
          </w:tcPr>
          <w:p>
            <w:pPr>
              <w:pStyle w:val="Normal"/>
              <w:rPr>
                <w:sz w:val="16"/>
              </w:rPr>
            </w:pPr>
            <w:r>
              <w:rPr>
                <w:sz w:val="16"/>
              </w:rPr>
              <w:t xml:space="preserve">  </w:t>
            </w:r>
            <w:r>
              <w:rPr>
                <w:sz w:val="16"/>
              </w:rPr>
              <w:t>% Change Year-to-Year</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338%</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236.8%</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194.1%</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86%</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58.2%</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39.7%</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27.3%</w:t>
            </w:r>
          </w:p>
        </w:tc>
        <w:tc>
          <w:tcPr>
            <w:tcW w:w="780" w:type="dxa"/>
            <w:tcBorders>
              <w:top w:val="single" w:sz="4" w:space="0" w:color="000000"/>
              <w:start w:val="single" w:sz="4" w:space="0" w:color="000000"/>
              <w:bottom w:val="single" w:sz="4" w:space="0" w:color="000000"/>
              <w:end w:val="single" w:sz="12" w:space="0" w:color="000000"/>
            </w:tcBorders>
          </w:tcPr>
          <w:p>
            <w:pPr>
              <w:pStyle w:val="Normal"/>
              <w:jc w:val="end"/>
              <w:rPr>
                <w:sz w:val="16"/>
              </w:rPr>
            </w:pPr>
            <w:r>
              <w:rPr>
                <w:sz w:val="16"/>
              </w:rPr>
              <w:t>19.1%</w:t>
            </w:r>
          </w:p>
        </w:tc>
      </w:tr>
      <w:tr>
        <w:trPr/>
        <w:tc>
          <w:tcPr>
            <w:tcW w:w="2700" w:type="dxa"/>
            <w:tcBorders>
              <w:top w:val="single" w:sz="4" w:space="0" w:color="000000"/>
              <w:start w:val="single" w:sz="12" w:space="0" w:color="000000"/>
              <w:bottom w:val="single" w:sz="4" w:space="0" w:color="000000"/>
              <w:end w:val="single" w:sz="4" w:space="0" w:color="000000"/>
            </w:tcBorders>
          </w:tcPr>
          <w:p>
            <w:pPr>
              <w:pStyle w:val="Normal"/>
              <w:rPr>
                <w:sz w:val="16"/>
              </w:rPr>
            </w:pPr>
            <w:r>
              <w:rPr>
                <w:sz w:val="16"/>
              </w:rPr>
              <w:t xml:space="preserve">  </w:t>
            </w:r>
            <w:r>
              <w:rPr>
                <w:sz w:val="16"/>
              </w:rPr>
              <w:t>% of Cable Modem Ready Homes</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1.1%</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2.2%</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3.6%</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6.2%</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9.0%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12.9%</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17.0%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21.1%</w:t>
            </w:r>
          </w:p>
        </w:tc>
        <w:tc>
          <w:tcPr>
            <w:tcW w:w="780" w:type="dxa"/>
            <w:tcBorders>
              <w:top w:val="single" w:sz="4" w:space="0" w:color="000000"/>
              <w:start w:val="single" w:sz="4" w:space="0" w:color="000000"/>
              <w:bottom w:val="single" w:sz="4" w:space="0" w:color="000000"/>
              <w:end w:val="single" w:sz="12" w:space="0" w:color="000000"/>
            </w:tcBorders>
          </w:tcPr>
          <w:p>
            <w:pPr>
              <w:pStyle w:val="Normal"/>
              <w:jc w:val="end"/>
              <w:rPr>
                <w:sz w:val="16"/>
              </w:rPr>
            </w:pPr>
            <w:r>
              <w:rPr>
                <w:sz w:val="16"/>
              </w:rPr>
              <w:t>24.6%</w:t>
            </w:r>
          </w:p>
        </w:tc>
      </w:tr>
      <w:tr>
        <w:trPr/>
        <w:tc>
          <w:tcPr>
            <w:tcW w:w="2700" w:type="dxa"/>
            <w:tcBorders>
              <w:top w:val="single" w:sz="4" w:space="0" w:color="000000"/>
              <w:start w:val="single" w:sz="12" w:space="0" w:color="000000"/>
              <w:bottom w:val="single" w:sz="4" w:space="0" w:color="000000"/>
              <w:end w:val="single" w:sz="4" w:space="0" w:color="000000"/>
            </w:tcBorders>
          </w:tcPr>
          <w:p>
            <w:pPr>
              <w:pStyle w:val="Normal"/>
              <w:rPr>
                <w:sz w:val="16"/>
              </w:rPr>
            </w:pPr>
            <w:r>
              <w:rPr>
                <w:sz w:val="16"/>
              </w:rPr>
              <w:t xml:space="preserve">  </w:t>
            </w:r>
            <w:r>
              <w:rPr>
                <w:sz w:val="16"/>
              </w:rPr>
              <w:t>% of OnLine Households</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0.3%</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2.9%</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7.4%</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12.4%</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18.0%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23.5%</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28.4%</w:t>
            </w:r>
          </w:p>
        </w:tc>
        <w:tc>
          <w:tcPr>
            <w:tcW w:w="780" w:type="dxa"/>
            <w:tcBorders>
              <w:top w:val="single" w:sz="4" w:space="0" w:color="000000"/>
              <w:start w:val="single" w:sz="4" w:space="0" w:color="000000"/>
              <w:bottom w:val="single" w:sz="4" w:space="0" w:color="000000"/>
              <w:end w:val="single" w:sz="12" w:space="0" w:color="000000"/>
            </w:tcBorders>
          </w:tcPr>
          <w:p>
            <w:pPr>
              <w:pStyle w:val="Normal"/>
              <w:jc w:val="end"/>
              <w:rPr>
                <w:sz w:val="16"/>
              </w:rPr>
            </w:pPr>
            <w:r>
              <w:rPr>
                <w:sz w:val="16"/>
              </w:rPr>
              <w:t>32.4%</w:t>
            </w:r>
          </w:p>
        </w:tc>
      </w:tr>
      <w:tr>
        <w:trPr/>
        <w:tc>
          <w:tcPr>
            <w:tcW w:w="2700" w:type="dxa"/>
            <w:tcBorders>
              <w:top w:val="single" w:sz="4" w:space="0" w:color="000000"/>
              <w:start w:val="single" w:sz="12" w:space="0" w:color="000000"/>
              <w:bottom w:val="single" w:sz="4" w:space="0" w:color="000000"/>
              <w:end w:val="single" w:sz="4" w:space="0" w:color="000000"/>
            </w:tcBorders>
          </w:tcPr>
          <w:p>
            <w:pPr>
              <w:pStyle w:val="Normal"/>
              <w:rPr>
                <w:sz w:val="16"/>
              </w:rPr>
            </w:pPr>
            <w:r>
              <w:rPr>
                <w:sz w:val="16"/>
              </w:rPr>
              <w:t xml:space="preserve">  </w:t>
            </w:r>
            <w:r>
              <w:rPr>
                <w:sz w:val="16"/>
              </w:rPr>
              <w:t>% Penetration of Basic Cable Subs</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0.1%</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0.6%</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1.9%</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5.6%</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10.3%</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16.2%</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22.4%</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28.5%</w:t>
            </w:r>
          </w:p>
        </w:tc>
        <w:tc>
          <w:tcPr>
            <w:tcW w:w="780" w:type="dxa"/>
            <w:tcBorders>
              <w:top w:val="single" w:sz="4" w:space="0" w:color="000000"/>
              <w:start w:val="single" w:sz="4" w:space="0" w:color="000000"/>
              <w:bottom w:val="single" w:sz="4" w:space="0" w:color="000000"/>
              <w:end w:val="single" w:sz="12" w:space="0" w:color="000000"/>
            </w:tcBorders>
          </w:tcPr>
          <w:p>
            <w:pPr>
              <w:pStyle w:val="Normal"/>
              <w:jc w:val="end"/>
              <w:rPr>
                <w:sz w:val="16"/>
              </w:rPr>
            </w:pPr>
            <w:r>
              <w:rPr>
                <w:sz w:val="16"/>
              </w:rPr>
              <w:t>33.8%</w:t>
            </w:r>
          </w:p>
        </w:tc>
      </w:tr>
      <w:tr>
        <w:trPr/>
        <w:tc>
          <w:tcPr>
            <w:tcW w:w="2700" w:type="dxa"/>
            <w:tcBorders>
              <w:top w:val="single" w:sz="4" w:space="0" w:color="000000"/>
              <w:start w:val="single" w:sz="12" w:space="0" w:color="000000"/>
              <w:bottom w:val="single" w:sz="12" w:space="0" w:color="000000"/>
              <w:end w:val="single" w:sz="4" w:space="0" w:color="000000"/>
            </w:tcBorders>
          </w:tcPr>
          <w:p>
            <w:pPr>
              <w:pStyle w:val="Normal"/>
              <w:rPr>
                <w:sz w:val="16"/>
              </w:rPr>
            </w:pPr>
            <w:r>
              <w:rPr>
                <w:sz w:val="16"/>
              </w:rPr>
              <w:t>Net Additions</w:t>
            </w:r>
          </w:p>
        </w:tc>
        <w:tc>
          <w:tcPr>
            <w:tcW w:w="780" w:type="dxa"/>
            <w:tcBorders>
              <w:top w:val="single" w:sz="4" w:space="0" w:color="000000"/>
              <w:start w:val="single" w:sz="4" w:space="0" w:color="000000"/>
              <w:end w:val="single" w:sz="4" w:space="0" w:color="000000"/>
            </w:tcBorders>
          </w:tcPr>
          <w:p>
            <w:pPr>
              <w:pStyle w:val="Normal"/>
              <w:jc w:val="end"/>
              <w:rPr>
                <w:sz w:val="16"/>
              </w:rPr>
            </w:pPr>
            <w:r>
              <w:rPr>
                <w:sz w:val="16"/>
              </w:rPr>
              <w:t>88</w:t>
            </w:r>
          </w:p>
        </w:tc>
        <w:tc>
          <w:tcPr>
            <w:tcW w:w="780" w:type="dxa"/>
            <w:tcBorders>
              <w:top w:val="single" w:sz="4" w:space="0" w:color="000000"/>
              <w:start w:val="single" w:sz="4" w:space="0" w:color="000000"/>
              <w:end w:val="single" w:sz="4" w:space="0" w:color="000000"/>
            </w:tcBorders>
          </w:tcPr>
          <w:p>
            <w:pPr>
              <w:pStyle w:val="Normal"/>
              <w:jc w:val="end"/>
              <w:rPr>
                <w:sz w:val="16"/>
              </w:rPr>
            </w:pPr>
            <w:r>
              <w:rPr>
                <w:sz w:val="16"/>
              </w:rPr>
              <w:t>297</w:t>
            </w:r>
          </w:p>
        </w:tc>
        <w:tc>
          <w:tcPr>
            <w:tcW w:w="780" w:type="dxa"/>
            <w:tcBorders>
              <w:top w:val="single" w:sz="4" w:space="0" w:color="000000"/>
              <w:start w:val="single" w:sz="4" w:space="0" w:color="000000"/>
              <w:end w:val="single" w:sz="4" w:space="0" w:color="000000"/>
            </w:tcBorders>
          </w:tcPr>
          <w:p>
            <w:pPr>
              <w:pStyle w:val="Normal"/>
              <w:jc w:val="end"/>
              <w:rPr>
                <w:sz w:val="16"/>
              </w:rPr>
            </w:pPr>
            <w:r>
              <w:rPr>
                <w:sz w:val="16"/>
              </w:rPr>
              <w:t>911</w:t>
            </w:r>
          </w:p>
        </w:tc>
        <w:tc>
          <w:tcPr>
            <w:tcW w:w="780" w:type="dxa"/>
            <w:tcBorders>
              <w:top w:val="single" w:sz="4" w:space="0" w:color="000000"/>
              <w:start w:val="single" w:sz="4" w:space="0" w:color="000000"/>
              <w:end w:val="double" w:sz="4" w:space="0" w:color="000000"/>
            </w:tcBorders>
          </w:tcPr>
          <w:p>
            <w:pPr>
              <w:pStyle w:val="Normal"/>
              <w:jc w:val="end"/>
              <w:rPr>
                <w:sz w:val="16"/>
              </w:rPr>
            </w:pPr>
            <w:r>
              <w:rPr>
                <w:sz w:val="16"/>
              </w:rPr>
              <w:t>2,514</w:t>
            </w:r>
          </w:p>
        </w:tc>
        <w:tc>
          <w:tcPr>
            <w:tcW w:w="780" w:type="dxa"/>
            <w:tcBorders>
              <w:top w:val="single" w:sz="4" w:space="0" w:color="000000"/>
              <w:end w:val="single" w:sz="4" w:space="0" w:color="000000"/>
            </w:tcBorders>
          </w:tcPr>
          <w:p>
            <w:pPr>
              <w:pStyle w:val="Normal"/>
              <w:jc w:val="end"/>
              <w:rPr>
                <w:sz w:val="16"/>
              </w:rPr>
            </w:pPr>
            <w:r>
              <w:rPr>
                <w:sz w:val="16"/>
              </w:rPr>
              <w:t>3,274</w:t>
            </w:r>
          </w:p>
        </w:tc>
        <w:tc>
          <w:tcPr>
            <w:tcW w:w="780" w:type="dxa"/>
            <w:tcBorders>
              <w:top w:val="single" w:sz="4" w:space="0" w:color="000000"/>
              <w:start w:val="single" w:sz="4" w:space="0" w:color="000000"/>
              <w:end w:val="single" w:sz="4" w:space="0" w:color="000000"/>
            </w:tcBorders>
          </w:tcPr>
          <w:p>
            <w:pPr>
              <w:pStyle w:val="Normal"/>
              <w:jc w:val="end"/>
              <w:rPr>
                <w:sz w:val="16"/>
              </w:rPr>
            </w:pPr>
            <w:r>
              <w:rPr>
                <w:sz w:val="16"/>
              </w:rPr>
              <w:t>4,124</w:t>
            </w:r>
          </w:p>
        </w:tc>
        <w:tc>
          <w:tcPr>
            <w:tcW w:w="780" w:type="dxa"/>
            <w:tcBorders>
              <w:top w:val="single" w:sz="4" w:space="0" w:color="000000"/>
              <w:start w:val="single" w:sz="4" w:space="0" w:color="000000"/>
              <w:end w:val="single" w:sz="4" w:space="0" w:color="000000"/>
            </w:tcBorders>
          </w:tcPr>
          <w:p>
            <w:pPr>
              <w:pStyle w:val="Normal"/>
              <w:jc w:val="end"/>
              <w:rPr>
                <w:sz w:val="16"/>
              </w:rPr>
            </w:pPr>
            <w:r>
              <w:rPr>
                <w:sz w:val="16"/>
              </w:rPr>
              <w:t>4,448</w:t>
            </w:r>
          </w:p>
        </w:tc>
        <w:tc>
          <w:tcPr>
            <w:tcW w:w="780" w:type="dxa"/>
            <w:tcBorders>
              <w:top w:val="single" w:sz="4" w:space="0" w:color="000000"/>
              <w:start w:val="single" w:sz="4" w:space="0" w:color="000000"/>
              <w:end w:val="single" w:sz="4" w:space="0" w:color="000000"/>
            </w:tcBorders>
          </w:tcPr>
          <w:p>
            <w:pPr>
              <w:pStyle w:val="Normal"/>
              <w:jc w:val="end"/>
              <w:rPr>
                <w:sz w:val="16"/>
              </w:rPr>
            </w:pPr>
            <w:r>
              <w:rPr>
                <w:sz w:val="16"/>
              </w:rPr>
              <w:t>4,281</w:t>
            </w:r>
          </w:p>
        </w:tc>
        <w:tc>
          <w:tcPr>
            <w:tcW w:w="780" w:type="dxa"/>
            <w:tcBorders>
              <w:top w:val="single" w:sz="4" w:space="0" w:color="000000"/>
              <w:start w:val="single" w:sz="4" w:space="0" w:color="000000"/>
              <w:bottom w:val="single" w:sz="12" w:space="0" w:color="000000"/>
              <w:end w:val="single" w:sz="12" w:space="0" w:color="000000"/>
            </w:tcBorders>
          </w:tcPr>
          <w:p>
            <w:pPr>
              <w:pStyle w:val="Normal"/>
              <w:jc w:val="end"/>
              <w:rPr>
                <w:sz w:val="16"/>
              </w:rPr>
            </w:pPr>
            <w:r>
              <w:rPr>
                <w:sz w:val="16"/>
              </w:rPr>
              <w:t>3,809</w:t>
            </w:r>
          </w:p>
        </w:tc>
      </w:tr>
      <w:tr>
        <w:trPr/>
        <w:tc>
          <w:tcPr>
            <w:tcW w:w="2700" w:type="dxa"/>
            <w:tcBorders>
              <w:start w:val="single" w:sz="4" w:space="0" w:color="000000"/>
              <w:bottom w:val="single" w:sz="4" w:space="0" w:color="000000"/>
              <w:end w:val="single" w:sz="4" w:space="0" w:color="000000"/>
            </w:tcBorders>
          </w:tcPr>
          <w:p>
            <w:pPr>
              <w:pStyle w:val="Normal"/>
              <w:snapToGrid w:val="false"/>
              <w:rPr>
                <w:sz w:val="16"/>
              </w:rPr>
            </w:pPr>
            <w:r>
              <w:rPr>
                <w:sz w:val="16"/>
              </w:rPr>
            </w:r>
          </w:p>
        </w:tc>
        <w:tc>
          <w:tcPr>
            <w:tcW w:w="780" w:type="dxa"/>
            <w:tcBorders>
              <w:top w:val="single" w:sz="12"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12"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12"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12" w:space="0" w:color="000000"/>
              <w:start w:val="single" w:sz="4" w:space="0" w:color="000000"/>
              <w:bottom w:val="single" w:sz="4" w:space="0" w:color="000000"/>
              <w:end w:val="double" w:sz="4" w:space="0" w:color="000000"/>
            </w:tcBorders>
          </w:tcPr>
          <w:p>
            <w:pPr>
              <w:pStyle w:val="Normal"/>
              <w:snapToGrid w:val="false"/>
              <w:jc w:val="end"/>
              <w:rPr>
                <w:sz w:val="16"/>
              </w:rPr>
            </w:pPr>
            <w:r>
              <w:rPr>
                <w:sz w:val="16"/>
              </w:rPr>
            </w:r>
          </w:p>
        </w:tc>
        <w:tc>
          <w:tcPr>
            <w:tcW w:w="780" w:type="dxa"/>
            <w:tcBorders>
              <w:top w:val="single" w:sz="12"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12"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12"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12"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start w:val="single" w:sz="4" w:space="0" w:color="000000"/>
              <w:bottom w:val="single" w:sz="4" w:space="0" w:color="000000"/>
              <w:end w:val="single" w:sz="4" w:space="0" w:color="000000"/>
            </w:tcBorders>
          </w:tcPr>
          <w:p>
            <w:pPr>
              <w:pStyle w:val="Normal"/>
              <w:snapToGrid w:val="false"/>
              <w:jc w:val="end"/>
              <w:rPr>
                <w:sz w:val="16"/>
              </w:rPr>
            </w:pPr>
            <w:r>
              <w:rPr>
                <w:sz w:val="16"/>
              </w:rPr>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Cable Telephony Ready Homes</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81</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1,257</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3,660</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8,823</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14,711</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24,095</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35,352</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48,489</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58,236</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 xml:space="preserve">  </w:t>
            </w:r>
            <w:r>
              <w:rPr>
                <w:sz w:val="16"/>
              </w:rPr>
              <w:t>% of Homes Passed by Cable</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0.1%</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1.3%</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3.8%</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9.0%</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14.9%</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24.1%</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34.9%</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47.3%</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56.2%</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New Cable Telephony Ready Homes</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81</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1,176</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2,404</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5,163</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5,888</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9,384</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11,257</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13,137</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9,747</w:t>
            </w:r>
          </w:p>
        </w:tc>
      </w:tr>
      <w:tr>
        <w:trPr/>
        <w:tc>
          <w:tcPr>
            <w:tcW w:w="2700" w:type="dxa"/>
            <w:tcBorders>
              <w:top w:val="single" w:sz="4" w:space="0" w:color="000000"/>
              <w:start w:val="single" w:sz="4" w:space="0" w:color="000000"/>
              <w:end w:val="single" w:sz="4" w:space="0" w:color="000000"/>
            </w:tcBorders>
          </w:tcPr>
          <w:p>
            <w:pPr>
              <w:pStyle w:val="Normal"/>
              <w:snapToGrid w:val="false"/>
              <w:rPr>
                <w:sz w:val="16"/>
              </w:rPr>
            </w:pPr>
            <w:r>
              <w:rPr>
                <w:sz w:val="16"/>
              </w:rPr>
            </w:r>
          </w:p>
        </w:tc>
        <w:tc>
          <w:tcPr>
            <w:tcW w:w="780" w:type="dxa"/>
            <w:tcBorders>
              <w:top w:val="single" w:sz="4" w:space="0" w:color="000000"/>
              <w:start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end w:val="double" w:sz="4" w:space="0" w:color="000000"/>
            </w:tcBorders>
          </w:tcPr>
          <w:p>
            <w:pPr>
              <w:pStyle w:val="Normal"/>
              <w:snapToGrid w:val="false"/>
              <w:jc w:val="end"/>
              <w:rPr>
                <w:sz w:val="16"/>
              </w:rPr>
            </w:pPr>
            <w:r>
              <w:rPr>
                <w:sz w:val="16"/>
              </w:rPr>
            </w:r>
          </w:p>
        </w:tc>
        <w:tc>
          <w:tcPr>
            <w:tcW w:w="780" w:type="dxa"/>
            <w:tcBorders>
              <w:top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end w:val="single" w:sz="4" w:space="0" w:color="000000"/>
            </w:tcBorders>
          </w:tcPr>
          <w:p>
            <w:pPr>
              <w:pStyle w:val="Normal"/>
              <w:snapToGrid w:val="false"/>
              <w:jc w:val="end"/>
              <w:rPr>
                <w:sz w:val="16"/>
              </w:rPr>
            </w:pPr>
            <w:r>
              <w:rPr>
                <w:sz w:val="16"/>
              </w:rPr>
            </w:r>
          </w:p>
        </w:tc>
        <w:tc>
          <w:tcPr>
            <w:tcW w:w="780" w:type="dxa"/>
            <w:tcBorders>
              <w:top w:val="single" w:sz="4" w:space="0" w:color="000000"/>
              <w:start w:val="single" w:sz="4" w:space="0" w:color="000000"/>
              <w:end w:val="single" w:sz="4" w:space="0" w:color="000000"/>
            </w:tcBorders>
          </w:tcPr>
          <w:p>
            <w:pPr>
              <w:pStyle w:val="Normal"/>
              <w:snapToGrid w:val="false"/>
              <w:jc w:val="end"/>
              <w:rPr>
                <w:sz w:val="16"/>
              </w:rPr>
            </w:pPr>
            <w:r>
              <w:rPr>
                <w:sz w:val="16"/>
              </w:rPr>
            </w:r>
          </w:p>
        </w:tc>
      </w:tr>
      <w:tr>
        <w:trPr/>
        <w:tc>
          <w:tcPr>
            <w:tcW w:w="2700" w:type="dxa"/>
            <w:tcBorders>
              <w:top w:val="single" w:sz="12" w:space="0" w:color="000000"/>
              <w:start w:val="single" w:sz="12" w:space="0" w:color="000000"/>
              <w:bottom w:val="single" w:sz="4" w:space="0" w:color="000000"/>
              <w:end w:val="single" w:sz="4" w:space="0" w:color="000000"/>
            </w:tcBorders>
          </w:tcPr>
          <w:p>
            <w:pPr>
              <w:pStyle w:val="Normal"/>
              <w:rPr>
                <w:sz w:val="16"/>
              </w:rPr>
            </w:pPr>
            <w:r>
              <w:rPr>
                <w:sz w:val="16"/>
              </w:rPr>
              <w:t>Cable Telephony Subscribers</w:t>
            </w:r>
          </w:p>
        </w:tc>
        <w:tc>
          <w:tcPr>
            <w:tcW w:w="780" w:type="dxa"/>
            <w:tcBorders>
              <w:top w:val="single" w:sz="12" w:space="0" w:color="000000"/>
              <w:start w:val="single" w:sz="4" w:space="0" w:color="000000"/>
              <w:bottom w:val="single" w:sz="4" w:space="0" w:color="000000"/>
              <w:end w:val="single" w:sz="4" w:space="0" w:color="000000"/>
            </w:tcBorders>
          </w:tcPr>
          <w:p>
            <w:pPr>
              <w:pStyle w:val="Normal"/>
              <w:jc w:val="end"/>
              <w:rPr>
                <w:sz w:val="16"/>
              </w:rPr>
            </w:pPr>
            <w:r>
              <w:rPr>
                <w:sz w:val="16"/>
              </w:rPr>
              <w:t>1</w:t>
            </w:r>
          </w:p>
        </w:tc>
        <w:tc>
          <w:tcPr>
            <w:tcW w:w="780" w:type="dxa"/>
            <w:tcBorders>
              <w:top w:val="single" w:sz="12" w:space="0" w:color="000000"/>
              <w:start w:val="single" w:sz="4" w:space="0" w:color="000000"/>
              <w:bottom w:val="single" w:sz="4" w:space="0" w:color="000000"/>
              <w:end w:val="single" w:sz="4" w:space="0" w:color="000000"/>
            </w:tcBorders>
          </w:tcPr>
          <w:p>
            <w:pPr>
              <w:pStyle w:val="Normal"/>
              <w:jc w:val="end"/>
              <w:rPr>
                <w:sz w:val="16"/>
              </w:rPr>
            </w:pPr>
            <w:r>
              <w:rPr>
                <w:sz w:val="16"/>
              </w:rPr>
              <w:t>49</w:t>
            </w:r>
          </w:p>
        </w:tc>
        <w:tc>
          <w:tcPr>
            <w:tcW w:w="780" w:type="dxa"/>
            <w:tcBorders>
              <w:top w:val="single" w:sz="12" w:space="0" w:color="000000"/>
              <w:start w:val="single" w:sz="4" w:space="0" w:color="000000"/>
              <w:bottom w:val="single" w:sz="4" w:space="0" w:color="000000"/>
              <w:end w:val="single" w:sz="4" w:space="0" w:color="000000"/>
            </w:tcBorders>
          </w:tcPr>
          <w:p>
            <w:pPr>
              <w:pStyle w:val="Normal"/>
              <w:jc w:val="end"/>
              <w:rPr>
                <w:sz w:val="16"/>
              </w:rPr>
            </w:pPr>
            <w:r>
              <w:rPr>
                <w:sz w:val="16"/>
              </w:rPr>
              <w:t>198</w:t>
            </w:r>
          </w:p>
        </w:tc>
        <w:tc>
          <w:tcPr>
            <w:tcW w:w="780" w:type="dxa"/>
            <w:tcBorders>
              <w:top w:val="single" w:sz="12" w:space="0" w:color="000000"/>
              <w:start w:val="single" w:sz="4" w:space="0" w:color="000000"/>
              <w:bottom w:val="single" w:sz="4" w:space="0" w:color="000000"/>
              <w:end w:val="double" w:sz="4" w:space="0" w:color="000000"/>
            </w:tcBorders>
          </w:tcPr>
          <w:p>
            <w:pPr>
              <w:pStyle w:val="Normal"/>
              <w:jc w:val="end"/>
              <w:rPr>
                <w:sz w:val="16"/>
              </w:rPr>
            </w:pPr>
            <w:r>
              <w:rPr>
                <w:sz w:val="16"/>
              </w:rPr>
              <w:t>831</w:t>
            </w:r>
          </w:p>
        </w:tc>
        <w:tc>
          <w:tcPr>
            <w:tcW w:w="780" w:type="dxa"/>
            <w:tcBorders>
              <w:top w:val="single" w:sz="12" w:space="0" w:color="000000"/>
              <w:bottom w:val="single" w:sz="4" w:space="0" w:color="000000"/>
              <w:end w:val="single" w:sz="4" w:space="0" w:color="000000"/>
            </w:tcBorders>
          </w:tcPr>
          <w:p>
            <w:pPr>
              <w:pStyle w:val="Normal"/>
              <w:jc w:val="end"/>
              <w:rPr>
                <w:sz w:val="16"/>
              </w:rPr>
            </w:pPr>
            <w:r>
              <w:rPr>
                <w:sz w:val="16"/>
              </w:rPr>
              <w:t>1,587</w:t>
            </w:r>
          </w:p>
        </w:tc>
        <w:tc>
          <w:tcPr>
            <w:tcW w:w="780" w:type="dxa"/>
            <w:tcBorders>
              <w:top w:val="single" w:sz="12" w:space="0" w:color="000000"/>
              <w:start w:val="single" w:sz="4" w:space="0" w:color="000000"/>
              <w:bottom w:val="single" w:sz="4" w:space="0" w:color="000000"/>
              <w:end w:val="single" w:sz="4" w:space="0" w:color="000000"/>
            </w:tcBorders>
          </w:tcPr>
          <w:p>
            <w:pPr>
              <w:pStyle w:val="Normal"/>
              <w:jc w:val="end"/>
              <w:rPr>
                <w:sz w:val="16"/>
              </w:rPr>
            </w:pPr>
            <w:r>
              <w:rPr>
                <w:sz w:val="16"/>
              </w:rPr>
              <w:t>2,770</w:t>
            </w:r>
          </w:p>
        </w:tc>
        <w:tc>
          <w:tcPr>
            <w:tcW w:w="780" w:type="dxa"/>
            <w:tcBorders>
              <w:top w:val="single" w:sz="12" w:space="0" w:color="000000"/>
              <w:start w:val="single" w:sz="4" w:space="0" w:color="000000"/>
              <w:bottom w:val="single" w:sz="4" w:space="0" w:color="000000"/>
              <w:end w:val="single" w:sz="4" w:space="0" w:color="000000"/>
            </w:tcBorders>
          </w:tcPr>
          <w:p>
            <w:pPr>
              <w:pStyle w:val="Normal"/>
              <w:jc w:val="end"/>
              <w:rPr>
                <w:sz w:val="16"/>
              </w:rPr>
            </w:pPr>
            <w:r>
              <w:rPr>
                <w:sz w:val="16"/>
              </w:rPr>
              <w:t>4,795</w:t>
            </w:r>
          </w:p>
        </w:tc>
        <w:tc>
          <w:tcPr>
            <w:tcW w:w="780" w:type="dxa"/>
            <w:tcBorders>
              <w:top w:val="single" w:sz="12" w:space="0" w:color="000000"/>
              <w:start w:val="single" w:sz="4" w:space="0" w:color="000000"/>
              <w:bottom w:val="single" w:sz="4" w:space="0" w:color="000000"/>
              <w:end w:val="single" w:sz="4" w:space="0" w:color="000000"/>
            </w:tcBorders>
          </w:tcPr>
          <w:p>
            <w:pPr>
              <w:pStyle w:val="Normal"/>
              <w:jc w:val="end"/>
              <w:rPr>
                <w:sz w:val="16"/>
              </w:rPr>
            </w:pPr>
            <w:r>
              <w:rPr>
                <w:sz w:val="16"/>
              </w:rPr>
              <w:t>8,284</w:t>
            </w:r>
          </w:p>
        </w:tc>
        <w:tc>
          <w:tcPr>
            <w:tcW w:w="780" w:type="dxa"/>
            <w:tcBorders>
              <w:top w:val="single" w:sz="12" w:space="0" w:color="000000"/>
              <w:start w:val="single" w:sz="4" w:space="0" w:color="000000"/>
              <w:bottom w:val="single" w:sz="4" w:space="0" w:color="000000"/>
              <w:end w:val="single" w:sz="12" w:space="0" w:color="000000"/>
            </w:tcBorders>
          </w:tcPr>
          <w:p>
            <w:pPr>
              <w:pStyle w:val="Normal"/>
              <w:jc w:val="end"/>
              <w:rPr>
                <w:sz w:val="16"/>
              </w:rPr>
            </w:pPr>
            <w:r>
              <w:rPr>
                <w:sz w:val="16"/>
              </w:rPr>
              <w:t>12,566</w:t>
            </w:r>
          </w:p>
        </w:tc>
      </w:tr>
      <w:tr>
        <w:trPr/>
        <w:tc>
          <w:tcPr>
            <w:tcW w:w="2700" w:type="dxa"/>
            <w:tcBorders>
              <w:top w:val="single" w:sz="4" w:space="0" w:color="000000"/>
              <w:start w:val="single" w:sz="12" w:space="0" w:color="000000"/>
              <w:bottom w:val="single" w:sz="4" w:space="0" w:color="000000"/>
              <w:end w:val="single" w:sz="4" w:space="0" w:color="000000"/>
            </w:tcBorders>
          </w:tcPr>
          <w:p>
            <w:pPr>
              <w:pStyle w:val="Normal"/>
              <w:rPr>
                <w:sz w:val="16"/>
              </w:rPr>
            </w:pPr>
            <w:r>
              <w:rPr>
                <w:sz w:val="16"/>
              </w:rPr>
              <w:t xml:space="preserve">  </w:t>
            </w:r>
            <w:r>
              <w:rPr>
                <w:sz w:val="16"/>
              </w:rPr>
              <w:t>% Change Year-to-Year</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306.8%</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319.6%</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91.0%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74.5%</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73.1%</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72.8%</w:t>
            </w:r>
          </w:p>
        </w:tc>
        <w:tc>
          <w:tcPr>
            <w:tcW w:w="780" w:type="dxa"/>
            <w:tcBorders>
              <w:top w:val="single" w:sz="4" w:space="0" w:color="000000"/>
              <w:start w:val="single" w:sz="4" w:space="0" w:color="000000"/>
              <w:bottom w:val="single" w:sz="4" w:space="0" w:color="000000"/>
              <w:end w:val="single" w:sz="12" w:space="0" w:color="000000"/>
            </w:tcBorders>
          </w:tcPr>
          <w:p>
            <w:pPr>
              <w:pStyle w:val="Normal"/>
              <w:jc w:val="end"/>
              <w:rPr>
                <w:sz w:val="16"/>
              </w:rPr>
            </w:pPr>
            <w:r>
              <w:rPr>
                <w:sz w:val="16"/>
              </w:rPr>
              <w:t>51.7%</w:t>
            </w:r>
          </w:p>
        </w:tc>
      </w:tr>
      <w:tr>
        <w:trPr/>
        <w:tc>
          <w:tcPr>
            <w:tcW w:w="2700" w:type="dxa"/>
            <w:tcBorders>
              <w:top w:val="single" w:sz="4" w:space="0" w:color="000000"/>
              <w:start w:val="single" w:sz="12" w:space="0" w:color="000000"/>
              <w:bottom w:val="single" w:sz="4" w:space="0" w:color="000000"/>
              <w:end w:val="single" w:sz="4" w:space="0" w:color="000000"/>
            </w:tcBorders>
          </w:tcPr>
          <w:p>
            <w:pPr>
              <w:pStyle w:val="Normal"/>
              <w:rPr>
                <w:sz w:val="16"/>
              </w:rPr>
            </w:pPr>
            <w:r>
              <w:rPr>
                <w:sz w:val="16"/>
              </w:rPr>
              <w:t xml:space="preserve">  </w:t>
            </w:r>
            <w:r>
              <w:rPr>
                <w:sz w:val="16"/>
              </w:rPr>
              <w:t>% of Cable Telephony Ready Homes</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1.2%</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3.9%</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5.4%</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9.4%</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10.8%</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11.5%</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13.6%</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17.1%</w:t>
            </w:r>
          </w:p>
        </w:tc>
        <w:tc>
          <w:tcPr>
            <w:tcW w:w="780" w:type="dxa"/>
            <w:tcBorders>
              <w:top w:val="single" w:sz="4" w:space="0" w:color="000000"/>
              <w:start w:val="single" w:sz="4" w:space="0" w:color="000000"/>
              <w:bottom w:val="single" w:sz="4" w:space="0" w:color="000000"/>
              <w:end w:val="single" w:sz="12" w:space="0" w:color="000000"/>
            </w:tcBorders>
          </w:tcPr>
          <w:p>
            <w:pPr>
              <w:pStyle w:val="Normal"/>
              <w:jc w:val="end"/>
              <w:rPr>
                <w:sz w:val="16"/>
              </w:rPr>
            </w:pPr>
            <w:r>
              <w:rPr>
                <w:sz w:val="16"/>
              </w:rPr>
              <w:t>21.6%</w:t>
            </w:r>
          </w:p>
        </w:tc>
      </w:tr>
      <w:tr>
        <w:trPr/>
        <w:tc>
          <w:tcPr>
            <w:tcW w:w="2700" w:type="dxa"/>
            <w:tcBorders>
              <w:top w:val="single" w:sz="4" w:space="0" w:color="000000"/>
              <w:start w:val="single" w:sz="12" w:space="0" w:color="000000"/>
              <w:bottom w:val="single" w:sz="4" w:space="0" w:color="000000"/>
              <w:end w:val="single" w:sz="4" w:space="0" w:color="000000"/>
            </w:tcBorders>
          </w:tcPr>
          <w:p>
            <w:pPr>
              <w:pStyle w:val="Normal"/>
              <w:rPr>
                <w:sz w:val="16"/>
              </w:rPr>
            </w:pPr>
            <w:r>
              <w:rPr>
                <w:sz w:val="16"/>
              </w:rPr>
              <w:t xml:space="preserve">  </w:t>
            </w:r>
            <w:r>
              <w:rPr>
                <w:sz w:val="16"/>
              </w:rPr>
              <w:t>% of Homes Passed by Cable</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0.0%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0.1%</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0.2%</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0.9%</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1.6%</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2.8%</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4.7%</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8.1%</w:t>
            </w:r>
          </w:p>
        </w:tc>
        <w:tc>
          <w:tcPr>
            <w:tcW w:w="780" w:type="dxa"/>
            <w:tcBorders>
              <w:top w:val="single" w:sz="4" w:space="0" w:color="000000"/>
              <w:start w:val="single" w:sz="4" w:space="0" w:color="000000"/>
              <w:bottom w:val="single" w:sz="4" w:space="0" w:color="000000"/>
              <w:end w:val="single" w:sz="12" w:space="0" w:color="000000"/>
            </w:tcBorders>
          </w:tcPr>
          <w:p>
            <w:pPr>
              <w:pStyle w:val="Normal"/>
              <w:jc w:val="end"/>
              <w:rPr>
                <w:sz w:val="16"/>
              </w:rPr>
            </w:pPr>
            <w:r>
              <w:rPr>
                <w:sz w:val="16"/>
              </w:rPr>
              <w:t>12.1%</w:t>
            </w:r>
          </w:p>
        </w:tc>
      </w:tr>
      <w:tr>
        <w:trPr/>
        <w:tc>
          <w:tcPr>
            <w:tcW w:w="2700" w:type="dxa"/>
            <w:tcBorders>
              <w:top w:val="single" w:sz="4" w:space="0" w:color="000000"/>
              <w:start w:val="single" w:sz="12" w:space="0" w:color="000000"/>
              <w:bottom w:val="single" w:sz="12" w:space="0" w:color="000000"/>
              <w:end w:val="single" w:sz="4" w:space="0" w:color="000000"/>
            </w:tcBorders>
          </w:tcPr>
          <w:p>
            <w:pPr>
              <w:pStyle w:val="Normal"/>
              <w:rPr>
                <w:sz w:val="16"/>
              </w:rPr>
            </w:pPr>
            <w:r>
              <w:rPr>
                <w:sz w:val="16"/>
              </w:rPr>
              <w:t>Net Additions</w:t>
            </w:r>
          </w:p>
        </w:tc>
        <w:tc>
          <w:tcPr>
            <w:tcW w:w="780" w:type="dxa"/>
            <w:tcBorders>
              <w:top w:val="single" w:sz="4" w:space="0" w:color="000000"/>
              <w:start w:val="single" w:sz="4" w:space="0" w:color="000000"/>
              <w:end w:val="single" w:sz="4" w:space="0" w:color="000000"/>
            </w:tcBorders>
          </w:tcPr>
          <w:p>
            <w:pPr>
              <w:pStyle w:val="Normal"/>
              <w:jc w:val="end"/>
              <w:rPr>
                <w:sz w:val="16"/>
              </w:rPr>
            </w:pPr>
            <w:r>
              <w:rPr>
                <w:sz w:val="16"/>
              </w:rPr>
              <w:t>1</w:t>
            </w:r>
          </w:p>
        </w:tc>
        <w:tc>
          <w:tcPr>
            <w:tcW w:w="780" w:type="dxa"/>
            <w:tcBorders>
              <w:top w:val="single" w:sz="4" w:space="0" w:color="000000"/>
              <w:start w:val="single" w:sz="4" w:space="0" w:color="000000"/>
              <w:end w:val="single" w:sz="4" w:space="0" w:color="000000"/>
            </w:tcBorders>
          </w:tcPr>
          <w:p>
            <w:pPr>
              <w:pStyle w:val="Normal"/>
              <w:jc w:val="end"/>
              <w:rPr>
                <w:sz w:val="16"/>
              </w:rPr>
            </w:pPr>
            <w:r>
              <w:rPr>
                <w:sz w:val="16"/>
              </w:rPr>
              <w:t>48</w:t>
            </w:r>
          </w:p>
        </w:tc>
        <w:tc>
          <w:tcPr>
            <w:tcW w:w="780" w:type="dxa"/>
            <w:tcBorders>
              <w:top w:val="single" w:sz="4" w:space="0" w:color="000000"/>
              <w:start w:val="single" w:sz="4" w:space="0" w:color="000000"/>
              <w:end w:val="single" w:sz="4" w:space="0" w:color="000000"/>
            </w:tcBorders>
          </w:tcPr>
          <w:p>
            <w:pPr>
              <w:pStyle w:val="Normal"/>
              <w:jc w:val="end"/>
              <w:rPr>
                <w:sz w:val="16"/>
              </w:rPr>
            </w:pPr>
            <w:r>
              <w:rPr>
                <w:sz w:val="16"/>
              </w:rPr>
              <w:t>149</w:t>
            </w:r>
          </w:p>
        </w:tc>
        <w:tc>
          <w:tcPr>
            <w:tcW w:w="780" w:type="dxa"/>
            <w:tcBorders>
              <w:top w:val="single" w:sz="4" w:space="0" w:color="000000"/>
              <w:start w:val="single" w:sz="4" w:space="0" w:color="000000"/>
              <w:end w:val="double" w:sz="4" w:space="0" w:color="000000"/>
            </w:tcBorders>
          </w:tcPr>
          <w:p>
            <w:pPr>
              <w:pStyle w:val="Normal"/>
              <w:jc w:val="end"/>
              <w:rPr>
                <w:sz w:val="16"/>
              </w:rPr>
            </w:pPr>
            <w:r>
              <w:rPr>
                <w:sz w:val="16"/>
              </w:rPr>
              <w:t>633</w:t>
            </w:r>
          </w:p>
        </w:tc>
        <w:tc>
          <w:tcPr>
            <w:tcW w:w="780" w:type="dxa"/>
            <w:tcBorders>
              <w:top w:val="single" w:sz="4" w:space="0" w:color="000000"/>
              <w:end w:val="single" w:sz="4" w:space="0" w:color="000000"/>
            </w:tcBorders>
          </w:tcPr>
          <w:p>
            <w:pPr>
              <w:pStyle w:val="Normal"/>
              <w:jc w:val="end"/>
              <w:rPr>
                <w:sz w:val="16"/>
              </w:rPr>
            </w:pPr>
            <w:r>
              <w:rPr>
                <w:sz w:val="16"/>
              </w:rPr>
              <w:t>756</w:t>
            </w:r>
          </w:p>
        </w:tc>
        <w:tc>
          <w:tcPr>
            <w:tcW w:w="780" w:type="dxa"/>
            <w:tcBorders>
              <w:top w:val="single" w:sz="4" w:space="0" w:color="000000"/>
              <w:start w:val="single" w:sz="4" w:space="0" w:color="000000"/>
              <w:end w:val="single" w:sz="4" w:space="0" w:color="000000"/>
            </w:tcBorders>
          </w:tcPr>
          <w:p>
            <w:pPr>
              <w:pStyle w:val="Normal"/>
              <w:jc w:val="end"/>
              <w:rPr>
                <w:sz w:val="16"/>
              </w:rPr>
            </w:pPr>
            <w:r>
              <w:rPr>
                <w:sz w:val="16"/>
              </w:rPr>
              <w:t>1,182</w:t>
            </w:r>
          </w:p>
        </w:tc>
        <w:tc>
          <w:tcPr>
            <w:tcW w:w="780" w:type="dxa"/>
            <w:tcBorders>
              <w:top w:val="single" w:sz="4" w:space="0" w:color="000000"/>
              <w:start w:val="single" w:sz="4" w:space="0" w:color="000000"/>
              <w:end w:val="single" w:sz="4" w:space="0" w:color="000000"/>
            </w:tcBorders>
          </w:tcPr>
          <w:p>
            <w:pPr>
              <w:pStyle w:val="Normal"/>
              <w:jc w:val="end"/>
              <w:rPr>
                <w:sz w:val="16"/>
              </w:rPr>
            </w:pPr>
            <w:r>
              <w:rPr>
                <w:sz w:val="16"/>
              </w:rPr>
              <w:t>2,025</w:t>
            </w:r>
          </w:p>
        </w:tc>
        <w:tc>
          <w:tcPr>
            <w:tcW w:w="780" w:type="dxa"/>
            <w:tcBorders>
              <w:top w:val="single" w:sz="4" w:space="0" w:color="000000"/>
              <w:start w:val="single" w:sz="4" w:space="0" w:color="000000"/>
              <w:end w:val="single" w:sz="4" w:space="0" w:color="000000"/>
            </w:tcBorders>
          </w:tcPr>
          <w:p>
            <w:pPr>
              <w:pStyle w:val="Normal"/>
              <w:jc w:val="end"/>
              <w:rPr>
                <w:sz w:val="16"/>
              </w:rPr>
            </w:pPr>
            <w:r>
              <w:rPr>
                <w:sz w:val="16"/>
              </w:rPr>
              <w:t>3,489</w:t>
            </w:r>
          </w:p>
        </w:tc>
        <w:tc>
          <w:tcPr>
            <w:tcW w:w="780" w:type="dxa"/>
            <w:tcBorders>
              <w:top w:val="single" w:sz="4" w:space="0" w:color="000000"/>
              <w:start w:val="single" w:sz="4" w:space="0" w:color="000000"/>
              <w:bottom w:val="single" w:sz="12" w:space="0" w:color="000000"/>
              <w:end w:val="single" w:sz="12" w:space="0" w:color="000000"/>
            </w:tcBorders>
          </w:tcPr>
          <w:p>
            <w:pPr>
              <w:pStyle w:val="Normal"/>
              <w:jc w:val="end"/>
              <w:rPr>
                <w:sz w:val="16"/>
              </w:rPr>
            </w:pPr>
            <w:r>
              <w:rPr>
                <w:sz w:val="16"/>
              </w:rPr>
              <w:t>4,281</w:t>
            </w:r>
          </w:p>
        </w:tc>
      </w:tr>
      <w:tr>
        <w:trPr/>
        <w:tc>
          <w:tcPr>
            <w:tcW w:w="2700" w:type="dxa"/>
            <w:tcBorders>
              <w:start w:val="single" w:sz="4" w:space="0" w:color="000000"/>
              <w:end w:val="single" w:sz="4" w:space="0" w:color="000000"/>
            </w:tcBorders>
          </w:tcPr>
          <w:p>
            <w:pPr>
              <w:pStyle w:val="Normal"/>
              <w:snapToGrid w:val="false"/>
              <w:rPr>
                <w:sz w:val="16"/>
              </w:rPr>
            </w:pPr>
            <w:r>
              <w:rPr>
                <w:sz w:val="16"/>
              </w:rPr>
            </w:r>
          </w:p>
        </w:tc>
        <w:tc>
          <w:tcPr>
            <w:tcW w:w="780" w:type="dxa"/>
            <w:tcBorders>
              <w:top w:val="single" w:sz="12" w:space="0" w:color="000000"/>
              <w:start w:val="single" w:sz="4" w:space="0" w:color="000000"/>
              <w:end w:val="single" w:sz="4" w:space="0" w:color="000000"/>
            </w:tcBorders>
          </w:tcPr>
          <w:p>
            <w:pPr>
              <w:pStyle w:val="Normal"/>
              <w:snapToGrid w:val="false"/>
              <w:jc w:val="end"/>
              <w:rPr>
                <w:sz w:val="16"/>
              </w:rPr>
            </w:pPr>
            <w:r>
              <w:rPr>
                <w:sz w:val="16"/>
              </w:rPr>
            </w:r>
          </w:p>
        </w:tc>
        <w:tc>
          <w:tcPr>
            <w:tcW w:w="780" w:type="dxa"/>
            <w:tcBorders>
              <w:top w:val="single" w:sz="12" w:space="0" w:color="000000"/>
              <w:start w:val="single" w:sz="4" w:space="0" w:color="000000"/>
              <w:end w:val="single" w:sz="4" w:space="0" w:color="000000"/>
            </w:tcBorders>
          </w:tcPr>
          <w:p>
            <w:pPr>
              <w:pStyle w:val="Normal"/>
              <w:snapToGrid w:val="false"/>
              <w:jc w:val="end"/>
              <w:rPr>
                <w:sz w:val="16"/>
              </w:rPr>
            </w:pPr>
            <w:r>
              <w:rPr>
                <w:sz w:val="16"/>
              </w:rPr>
            </w:r>
          </w:p>
        </w:tc>
        <w:tc>
          <w:tcPr>
            <w:tcW w:w="780" w:type="dxa"/>
            <w:tcBorders>
              <w:top w:val="single" w:sz="12" w:space="0" w:color="000000"/>
              <w:start w:val="single" w:sz="4" w:space="0" w:color="000000"/>
              <w:end w:val="single" w:sz="4" w:space="0" w:color="000000"/>
            </w:tcBorders>
          </w:tcPr>
          <w:p>
            <w:pPr>
              <w:pStyle w:val="Normal"/>
              <w:snapToGrid w:val="false"/>
              <w:jc w:val="end"/>
              <w:rPr>
                <w:sz w:val="16"/>
              </w:rPr>
            </w:pPr>
            <w:r>
              <w:rPr>
                <w:sz w:val="16"/>
              </w:rPr>
            </w:r>
          </w:p>
        </w:tc>
        <w:tc>
          <w:tcPr>
            <w:tcW w:w="780" w:type="dxa"/>
            <w:tcBorders>
              <w:top w:val="single" w:sz="12" w:space="0" w:color="000000"/>
              <w:start w:val="single" w:sz="4" w:space="0" w:color="000000"/>
              <w:end w:val="double" w:sz="4" w:space="0" w:color="000000"/>
            </w:tcBorders>
          </w:tcPr>
          <w:p>
            <w:pPr>
              <w:pStyle w:val="Normal"/>
              <w:snapToGrid w:val="false"/>
              <w:jc w:val="end"/>
              <w:rPr>
                <w:sz w:val="16"/>
              </w:rPr>
            </w:pPr>
            <w:r>
              <w:rPr>
                <w:sz w:val="16"/>
              </w:rPr>
            </w:r>
          </w:p>
        </w:tc>
        <w:tc>
          <w:tcPr>
            <w:tcW w:w="780" w:type="dxa"/>
            <w:tcBorders>
              <w:top w:val="single" w:sz="12" w:space="0" w:color="000000"/>
              <w:end w:val="single" w:sz="4" w:space="0" w:color="000000"/>
            </w:tcBorders>
          </w:tcPr>
          <w:p>
            <w:pPr>
              <w:pStyle w:val="Normal"/>
              <w:snapToGrid w:val="false"/>
              <w:jc w:val="end"/>
              <w:rPr>
                <w:sz w:val="16"/>
              </w:rPr>
            </w:pPr>
            <w:r>
              <w:rPr>
                <w:sz w:val="16"/>
              </w:rPr>
            </w:r>
          </w:p>
        </w:tc>
        <w:tc>
          <w:tcPr>
            <w:tcW w:w="780" w:type="dxa"/>
            <w:tcBorders>
              <w:top w:val="single" w:sz="12" w:space="0" w:color="000000"/>
              <w:start w:val="single" w:sz="4" w:space="0" w:color="000000"/>
              <w:end w:val="single" w:sz="4" w:space="0" w:color="000000"/>
            </w:tcBorders>
          </w:tcPr>
          <w:p>
            <w:pPr>
              <w:pStyle w:val="Normal"/>
              <w:snapToGrid w:val="false"/>
              <w:jc w:val="end"/>
              <w:rPr>
                <w:sz w:val="16"/>
              </w:rPr>
            </w:pPr>
            <w:r>
              <w:rPr>
                <w:sz w:val="16"/>
              </w:rPr>
            </w:r>
          </w:p>
        </w:tc>
        <w:tc>
          <w:tcPr>
            <w:tcW w:w="780" w:type="dxa"/>
            <w:tcBorders>
              <w:top w:val="single" w:sz="12" w:space="0" w:color="000000"/>
              <w:start w:val="single" w:sz="4" w:space="0" w:color="000000"/>
              <w:end w:val="single" w:sz="4" w:space="0" w:color="000000"/>
            </w:tcBorders>
          </w:tcPr>
          <w:p>
            <w:pPr>
              <w:pStyle w:val="Normal"/>
              <w:snapToGrid w:val="false"/>
              <w:jc w:val="end"/>
              <w:rPr>
                <w:sz w:val="16"/>
              </w:rPr>
            </w:pPr>
            <w:r>
              <w:rPr>
                <w:sz w:val="16"/>
              </w:rPr>
            </w:r>
          </w:p>
        </w:tc>
        <w:tc>
          <w:tcPr>
            <w:tcW w:w="780" w:type="dxa"/>
            <w:tcBorders>
              <w:top w:val="single" w:sz="12" w:space="0" w:color="000000"/>
              <w:start w:val="single" w:sz="4" w:space="0" w:color="000000"/>
              <w:end w:val="single" w:sz="4" w:space="0" w:color="000000"/>
            </w:tcBorders>
          </w:tcPr>
          <w:p>
            <w:pPr>
              <w:pStyle w:val="Normal"/>
              <w:snapToGrid w:val="false"/>
              <w:jc w:val="end"/>
              <w:rPr>
                <w:sz w:val="16"/>
              </w:rPr>
            </w:pPr>
            <w:r>
              <w:rPr>
                <w:sz w:val="16"/>
              </w:rPr>
            </w:r>
          </w:p>
        </w:tc>
        <w:tc>
          <w:tcPr>
            <w:tcW w:w="780" w:type="dxa"/>
            <w:tcBorders>
              <w:start w:val="single" w:sz="4" w:space="0" w:color="000000"/>
              <w:end w:val="single" w:sz="4" w:space="0" w:color="000000"/>
            </w:tcBorders>
          </w:tcPr>
          <w:p>
            <w:pPr>
              <w:pStyle w:val="Normal"/>
              <w:snapToGrid w:val="false"/>
              <w:jc w:val="end"/>
              <w:rPr>
                <w:sz w:val="16"/>
              </w:rPr>
            </w:pPr>
            <w:r>
              <w:rPr>
                <w:sz w:val="16"/>
              </w:rPr>
            </w:r>
          </w:p>
        </w:tc>
      </w:tr>
      <w:tr>
        <w:trPr/>
        <w:tc>
          <w:tcPr>
            <w:tcW w:w="2700" w:type="dxa"/>
            <w:tcBorders>
              <w:top w:val="single" w:sz="12" w:space="0" w:color="000000"/>
              <w:start w:val="single" w:sz="12" w:space="0" w:color="000000"/>
              <w:bottom w:val="single" w:sz="4" w:space="0" w:color="000000"/>
              <w:end w:val="single" w:sz="4" w:space="0" w:color="000000"/>
            </w:tcBorders>
          </w:tcPr>
          <w:p>
            <w:pPr>
              <w:pStyle w:val="Normal"/>
              <w:rPr>
                <w:sz w:val="16"/>
              </w:rPr>
            </w:pPr>
            <w:r>
              <w:rPr>
                <w:sz w:val="16"/>
              </w:rPr>
              <w:t xml:space="preserve">New Revenue Generating Units </w:t>
            </w:r>
          </w:p>
        </w:tc>
        <w:tc>
          <w:tcPr>
            <w:tcW w:w="780" w:type="dxa"/>
            <w:tcBorders>
              <w:top w:val="single" w:sz="12"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12"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12"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12" w:space="0" w:color="000000"/>
              <w:start w:val="single" w:sz="4" w:space="0" w:color="000000"/>
              <w:bottom w:val="single" w:sz="4" w:space="0" w:color="000000"/>
              <w:end w:val="double" w:sz="4" w:space="0" w:color="000000"/>
            </w:tcBorders>
          </w:tcPr>
          <w:p>
            <w:pPr>
              <w:pStyle w:val="Normal"/>
              <w:snapToGrid w:val="false"/>
              <w:jc w:val="end"/>
              <w:rPr>
                <w:sz w:val="16"/>
              </w:rPr>
            </w:pPr>
            <w:r>
              <w:rPr>
                <w:sz w:val="16"/>
              </w:rPr>
            </w:r>
          </w:p>
        </w:tc>
        <w:tc>
          <w:tcPr>
            <w:tcW w:w="780" w:type="dxa"/>
            <w:tcBorders>
              <w:top w:val="single" w:sz="12"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12"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12"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12"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780" w:type="dxa"/>
            <w:tcBorders>
              <w:top w:val="single" w:sz="12" w:space="0" w:color="000000"/>
              <w:start w:val="single" w:sz="4" w:space="0" w:color="000000"/>
              <w:bottom w:val="single" w:sz="4" w:space="0" w:color="000000"/>
              <w:end w:val="single" w:sz="12" w:space="0" w:color="000000"/>
            </w:tcBorders>
          </w:tcPr>
          <w:p>
            <w:pPr>
              <w:pStyle w:val="Normal"/>
              <w:snapToGrid w:val="false"/>
              <w:jc w:val="end"/>
              <w:rPr>
                <w:sz w:val="16"/>
              </w:rPr>
            </w:pPr>
            <w:r>
              <w:rPr>
                <w:sz w:val="16"/>
              </w:rPr>
            </w:r>
          </w:p>
        </w:tc>
      </w:tr>
      <w:tr>
        <w:trPr/>
        <w:tc>
          <w:tcPr>
            <w:tcW w:w="2700" w:type="dxa"/>
            <w:tcBorders>
              <w:top w:val="single" w:sz="4" w:space="0" w:color="000000"/>
              <w:start w:val="single" w:sz="12" w:space="0" w:color="000000"/>
              <w:bottom w:val="single" w:sz="4" w:space="0" w:color="000000"/>
              <w:end w:val="single" w:sz="4" w:space="0" w:color="000000"/>
            </w:tcBorders>
          </w:tcPr>
          <w:p>
            <w:pPr>
              <w:pStyle w:val="Normal"/>
              <w:rPr>
                <w:sz w:val="16"/>
              </w:rPr>
            </w:pPr>
            <w:r>
              <w:rPr>
                <w:sz w:val="16"/>
              </w:rPr>
              <w:t xml:space="preserve">  </w:t>
            </w:r>
            <w:r>
              <w:rPr>
                <w:sz w:val="16"/>
              </w:rPr>
              <w:t>Digital Video</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25</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1,226</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3,565</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8,817</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15,220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22,752</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29,587</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35,972</w:t>
            </w:r>
          </w:p>
        </w:tc>
        <w:tc>
          <w:tcPr>
            <w:tcW w:w="780" w:type="dxa"/>
            <w:tcBorders>
              <w:top w:val="single" w:sz="4" w:space="0" w:color="000000"/>
              <w:start w:val="single" w:sz="4" w:space="0" w:color="000000"/>
              <w:bottom w:val="single" w:sz="4" w:space="0" w:color="000000"/>
              <w:end w:val="single" w:sz="12" w:space="0" w:color="000000"/>
            </w:tcBorders>
          </w:tcPr>
          <w:p>
            <w:pPr>
              <w:pStyle w:val="Normal"/>
              <w:jc w:val="end"/>
              <w:rPr>
                <w:sz w:val="16"/>
              </w:rPr>
            </w:pPr>
            <w:r>
              <w:rPr>
                <w:sz w:val="16"/>
              </w:rPr>
              <w:t>41,393</w:t>
            </w:r>
          </w:p>
        </w:tc>
      </w:tr>
      <w:tr>
        <w:trPr/>
        <w:tc>
          <w:tcPr>
            <w:tcW w:w="2700" w:type="dxa"/>
            <w:tcBorders>
              <w:top w:val="single" w:sz="4" w:space="0" w:color="000000"/>
              <w:start w:val="single" w:sz="12" w:space="0" w:color="000000"/>
              <w:bottom w:val="single" w:sz="4" w:space="0" w:color="000000"/>
              <w:end w:val="single" w:sz="4" w:space="0" w:color="000000"/>
            </w:tcBorders>
          </w:tcPr>
          <w:p>
            <w:pPr>
              <w:pStyle w:val="Normal"/>
              <w:rPr>
                <w:sz w:val="16"/>
              </w:rPr>
            </w:pPr>
            <w:r>
              <w:rPr>
                <w:sz w:val="16"/>
              </w:rPr>
              <w:t xml:space="preserve">  </w:t>
            </w:r>
            <w:r>
              <w:rPr>
                <w:sz w:val="16"/>
              </w:rPr>
              <w:t>Cable Modem</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88</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385</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1,295</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3,809</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7,084</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11,207</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15,655</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19,936</w:t>
            </w:r>
          </w:p>
        </w:tc>
        <w:tc>
          <w:tcPr>
            <w:tcW w:w="780" w:type="dxa"/>
            <w:tcBorders>
              <w:top w:val="single" w:sz="4" w:space="0" w:color="000000"/>
              <w:start w:val="single" w:sz="4" w:space="0" w:color="000000"/>
              <w:bottom w:val="single" w:sz="4" w:space="0" w:color="000000"/>
              <w:end w:val="single" w:sz="12" w:space="0" w:color="000000"/>
            </w:tcBorders>
          </w:tcPr>
          <w:p>
            <w:pPr>
              <w:pStyle w:val="Normal"/>
              <w:jc w:val="end"/>
              <w:rPr>
                <w:sz w:val="16"/>
              </w:rPr>
            </w:pPr>
            <w:r>
              <w:rPr>
                <w:sz w:val="16"/>
              </w:rPr>
              <w:t>23,745</w:t>
            </w:r>
          </w:p>
        </w:tc>
      </w:tr>
      <w:tr>
        <w:trPr/>
        <w:tc>
          <w:tcPr>
            <w:tcW w:w="2700" w:type="dxa"/>
            <w:tcBorders>
              <w:top w:val="single" w:sz="4" w:space="0" w:color="000000"/>
              <w:start w:val="single" w:sz="12" w:space="0" w:color="000000"/>
              <w:bottom w:val="single" w:sz="4" w:space="0" w:color="000000"/>
              <w:end w:val="single" w:sz="4" w:space="0" w:color="000000"/>
            </w:tcBorders>
          </w:tcPr>
          <w:p>
            <w:pPr>
              <w:pStyle w:val="Normal"/>
              <w:rPr>
                <w:sz w:val="16"/>
              </w:rPr>
            </w:pPr>
            <w:r>
              <w:rPr>
                <w:sz w:val="16"/>
              </w:rPr>
              <w:t xml:space="preserve">  </w:t>
            </w:r>
            <w:r>
              <w:rPr>
                <w:sz w:val="16"/>
              </w:rPr>
              <w:t>Cable Telephony</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49</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198</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831</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1,587</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2,770</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4,795</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8,284</w:t>
            </w:r>
          </w:p>
        </w:tc>
        <w:tc>
          <w:tcPr>
            <w:tcW w:w="780" w:type="dxa"/>
            <w:tcBorders>
              <w:top w:val="single" w:sz="4" w:space="0" w:color="000000"/>
              <w:start w:val="single" w:sz="4" w:space="0" w:color="000000"/>
              <w:bottom w:val="single" w:sz="4" w:space="0" w:color="000000"/>
              <w:end w:val="single" w:sz="12" w:space="0" w:color="000000"/>
            </w:tcBorders>
          </w:tcPr>
          <w:p>
            <w:pPr>
              <w:pStyle w:val="Normal"/>
              <w:jc w:val="end"/>
              <w:rPr>
                <w:sz w:val="16"/>
              </w:rPr>
            </w:pPr>
            <w:r>
              <w:rPr>
                <w:sz w:val="16"/>
              </w:rPr>
              <w:t>12,566</w:t>
            </w:r>
          </w:p>
        </w:tc>
      </w:tr>
      <w:tr>
        <w:trPr/>
        <w:tc>
          <w:tcPr>
            <w:tcW w:w="2700" w:type="dxa"/>
            <w:tcBorders>
              <w:top w:val="single" w:sz="4" w:space="0" w:color="000000"/>
              <w:start w:val="single" w:sz="12" w:space="0" w:color="000000"/>
              <w:bottom w:val="single" w:sz="4" w:space="0" w:color="000000"/>
              <w:end w:val="single" w:sz="4" w:space="0" w:color="000000"/>
            </w:tcBorders>
          </w:tcPr>
          <w:p>
            <w:pPr>
              <w:pStyle w:val="Normal"/>
              <w:rPr>
                <w:sz w:val="16"/>
              </w:rPr>
            </w:pPr>
            <w:r>
              <w:rPr>
                <w:sz w:val="16"/>
              </w:rPr>
              <w:t>Total New Rev Generating Units</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114</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1,659</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5,058</w:t>
            </w:r>
          </w:p>
        </w:tc>
        <w:tc>
          <w:tcPr>
            <w:tcW w:w="780" w:type="dxa"/>
            <w:tcBorders>
              <w:top w:val="single" w:sz="4" w:space="0" w:color="000000"/>
              <w:start w:val="single" w:sz="4" w:space="0" w:color="000000"/>
              <w:bottom w:val="single" w:sz="4" w:space="0" w:color="000000"/>
              <w:end w:val="double" w:sz="4" w:space="0" w:color="000000"/>
            </w:tcBorders>
          </w:tcPr>
          <w:p>
            <w:pPr>
              <w:pStyle w:val="Normal"/>
              <w:jc w:val="end"/>
              <w:rPr>
                <w:sz w:val="16"/>
              </w:rPr>
            </w:pPr>
            <w:r>
              <w:rPr>
                <w:sz w:val="16"/>
              </w:rPr>
              <w:t>13,457</w:t>
            </w:r>
          </w:p>
        </w:tc>
        <w:tc>
          <w:tcPr>
            <w:tcW w:w="780" w:type="dxa"/>
            <w:tcBorders>
              <w:top w:val="single" w:sz="4" w:space="0" w:color="000000"/>
              <w:bottom w:val="single" w:sz="4" w:space="0" w:color="000000"/>
              <w:end w:val="single" w:sz="4" w:space="0" w:color="000000"/>
            </w:tcBorders>
          </w:tcPr>
          <w:p>
            <w:pPr>
              <w:pStyle w:val="Normal"/>
              <w:jc w:val="end"/>
              <w:rPr>
                <w:sz w:val="16"/>
              </w:rPr>
            </w:pPr>
            <w:r>
              <w:rPr>
                <w:sz w:val="16"/>
              </w:rPr>
              <w:t>23,891</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36,729</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50,037</w:t>
            </w:r>
          </w:p>
        </w:tc>
        <w:tc>
          <w:tcPr>
            <w:tcW w:w="7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64,192</w:t>
            </w:r>
          </w:p>
        </w:tc>
        <w:tc>
          <w:tcPr>
            <w:tcW w:w="780" w:type="dxa"/>
            <w:tcBorders>
              <w:top w:val="single" w:sz="4" w:space="0" w:color="000000"/>
              <w:start w:val="single" w:sz="4" w:space="0" w:color="000000"/>
              <w:bottom w:val="single" w:sz="4" w:space="0" w:color="000000"/>
              <w:end w:val="single" w:sz="12" w:space="0" w:color="000000"/>
            </w:tcBorders>
          </w:tcPr>
          <w:p>
            <w:pPr>
              <w:pStyle w:val="Normal"/>
              <w:jc w:val="end"/>
              <w:rPr>
                <w:sz w:val="16"/>
              </w:rPr>
            </w:pPr>
            <w:r>
              <w:rPr>
                <w:sz w:val="16"/>
              </w:rPr>
              <w:t>77,703</w:t>
            </w:r>
          </w:p>
        </w:tc>
      </w:tr>
      <w:tr>
        <w:trPr/>
        <w:tc>
          <w:tcPr>
            <w:tcW w:w="2700" w:type="dxa"/>
            <w:tcBorders>
              <w:top w:val="single" w:sz="4" w:space="0" w:color="000000"/>
              <w:start w:val="single" w:sz="12" w:space="0" w:color="000000"/>
              <w:bottom w:val="single" w:sz="4" w:space="0" w:color="000000"/>
              <w:end w:val="single" w:sz="4" w:space="0" w:color="000000"/>
            </w:tcBorders>
          </w:tcPr>
          <w:p>
            <w:pPr>
              <w:pStyle w:val="Normal"/>
              <w:rPr>
                <w:sz w:val="16"/>
              </w:rPr>
            </w:pPr>
            <w:r>
              <w:rPr>
                <w:sz w:val="16"/>
              </w:rPr>
              <w:t xml:space="preserve">  </w:t>
            </w:r>
            <w:r>
              <w:rPr>
                <w:sz w:val="16"/>
              </w:rPr>
              <w:t>% Change Year-to-Year</w:t>
            </w:r>
          </w:p>
        </w:tc>
        <w:tc>
          <w:tcPr>
            <w:tcW w:w="780" w:type="dxa"/>
            <w:tcBorders>
              <w:top w:val="single" w:sz="4" w:space="0" w:color="000000"/>
              <w:start w:val="single" w:sz="4" w:space="0" w:color="000000"/>
              <w:end w:val="single" w:sz="4" w:space="0" w:color="000000"/>
            </w:tcBorders>
          </w:tcPr>
          <w:p>
            <w:pPr>
              <w:pStyle w:val="Normal"/>
              <w:jc w:val="end"/>
              <w:rPr>
                <w:sz w:val="16"/>
              </w:rPr>
            </w:pPr>
            <w:r>
              <w:rPr>
                <w:sz w:val="16"/>
              </w:rPr>
              <w:t>--</w:t>
            </w:r>
          </w:p>
        </w:tc>
        <w:tc>
          <w:tcPr>
            <w:tcW w:w="780" w:type="dxa"/>
            <w:tcBorders>
              <w:top w:val="single" w:sz="4" w:space="0" w:color="000000"/>
              <w:start w:val="single" w:sz="4" w:space="0" w:color="000000"/>
              <w:end w:val="single" w:sz="4" w:space="0" w:color="000000"/>
            </w:tcBorders>
          </w:tcPr>
          <w:p>
            <w:pPr>
              <w:pStyle w:val="Normal"/>
              <w:jc w:val="end"/>
              <w:rPr>
                <w:sz w:val="16"/>
              </w:rPr>
            </w:pPr>
            <w:r>
              <w:rPr>
                <w:sz w:val="16"/>
              </w:rPr>
              <w:t>1358%</w:t>
            </w:r>
          </w:p>
        </w:tc>
        <w:tc>
          <w:tcPr>
            <w:tcW w:w="780" w:type="dxa"/>
            <w:tcBorders>
              <w:top w:val="single" w:sz="4" w:space="0" w:color="000000"/>
              <w:start w:val="single" w:sz="4" w:space="0" w:color="000000"/>
              <w:end w:val="single" w:sz="4" w:space="0" w:color="000000"/>
            </w:tcBorders>
          </w:tcPr>
          <w:p>
            <w:pPr>
              <w:pStyle w:val="Normal"/>
              <w:jc w:val="end"/>
              <w:rPr>
                <w:sz w:val="16"/>
              </w:rPr>
            </w:pPr>
            <w:r>
              <w:rPr>
                <w:sz w:val="16"/>
              </w:rPr>
              <w:t>204.9%</w:t>
            </w:r>
          </w:p>
        </w:tc>
        <w:tc>
          <w:tcPr>
            <w:tcW w:w="780" w:type="dxa"/>
            <w:tcBorders>
              <w:top w:val="single" w:sz="4" w:space="0" w:color="000000"/>
              <w:start w:val="single" w:sz="4" w:space="0" w:color="000000"/>
              <w:end w:val="double" w:sz="4" w:space="0" w:color="000000"/>
            </w:tcBorders>
          </w:tcPr>
          <w:p>
            <w:pPr>
              <w:pStyle w:val="Normal"/>
              <w:jc w:val="end"/>
              <w:rPr>
                <w:sz w:val="16"/>
              </w:rPr>
            </w:pPr>
            <w:r>
              <w:rPr>
                <w:sz w:val="16"/>
              </w:rPr>
              <w:t>166.1%</w:t>
            </w:r>
          </w:p>
        </w:tc>
        <w:tc>
          <w:tcPr>
            <w:tcW w:w="780" w:type="dxa"/>
            <w:tcBorders>
              <w:top w:val="single" w:sz="4" w:space="0" w:color="000000"/>
              <w:end w:val="single" w:sz="4" w:space="0" w:color="000000"/>
            </w:tcBorders>
          </w:tcPr>
          <w:p>
            <w:pPr>
              <w:pStyle w:val="Normal"/>
              <w:jc w:val="end"/>
              <w:rPr>
                <w:sz w:val="16"/>
              </w:rPr>
            </w:pPr>
            <w:r>
              <w:rPr>
                <w:sz w:val="16"/>
              </w:rPr>
              <w:t>77.5%</w:t>
            </w:r>
          </w:p>
        </w:tc>
        <w:tc>
          <w:tcPr>
            <w:tcW w:w="780" w:type="dxa"/>
            <w:tcBorders>
              <w:top w:val="single" w:sz="4" w:space="0" w:color="000000"/>
              <w:start w:val="single" w:sz="4" w:space="0" w:color="000000"/>
              <w:end w:val="single" w:sz="4" w:space="0" w:color="000000"/>
            </w:tcBorders>
          </w:tcPr>
          <w:p>
            <w:pPr>
              <w:pStyle w:val="Normal"/>
              <w:jc w:val="end"/>
              <w:rPr>
                <w:sz w:val="16"/>
              </w:rPr>
            </w:pPr>
            <w:r>
              <w:rPr>
                <w:sz w:val="16"/>
              </w:rPr>
              <w:t>53.7%</w:t>
            </w:r>
          </w:p>
        </w:tc>
        <w:tc>
          <w:tcPr>
            <w:tcW w:w="780" w:type="dxa"/>
            <w:tcBorders>
              <w:top w:val="single" w:sz="4" w:space="0" w:color="000000"/>
              <w:start w:val="single" w:sz="4" w:space="0" w:color="000000"/>
              <w:end w:val="single" w:sz="4" w:space="0" w:color="000000"/>
            </w:tcBorders>
          </w:tcPr>
          <w:p>
            <w:pPr>
              <w:pStyle w:val="Normal"/>
              <w:jc w:val="end"/>
              <w:rPr>
                <w:sz w:val="16"/>
              </w:rPr>
            </w:pPr>
            <w:r>
              <w:rPr>
                <w:sz w:val="16"/>
              </w:rPr>
              <w:t>36.2%</w:t>
            </w:r>
          </w:p>
        </w:tc>
        <w:tc>
          <w:tcPr>
            <w:tcW w:w="780" w:type="dxa"/>
            <w:tcBorders>
              <w:top w:val="single" w:sz="4" w:space="0" w:color="000000"/>
              <w:start w:val="single" w:sz="4" w:space="0" w:color="000000"/>
              <w:end w:val="single" w:sz="4" w:space="0" w:color="000000"/>
            </w:tcBorders>
          </w:tcPr>
          <w:p>
            <w:pPr>
              <w:pStyle w:val="Normal"/>
              <w:jc w:val="end"/>
              <w:rPr>
                <w:sz w:val="16"/>
              </w:rPr>
            </w:pPr>
            <w:r>
              <w:rPr>
                <w:sz w:val="16"/>
              </w:rPr>
              <w:t>28.3%</w:t>
            </w:r>
          </w:p>
        </w:tc>
        <w:tc>
          <w:tcPr>
            <w:tcW w:w="780" w:type="dxa"/>
            <w:tcBorders>
              <w:top w:val="single" w:sz="4" w:space="0" w:color="000000"/>
              <w:start w:val="single" w:sz="4" w:space="0" w:color="000000"/>
              <w:bottom w:val="single" w:sz="4" w:space="0" w:color="000000"/>
              <w:end w:val="single" w:sz="12" w:space="0" w:color="000000"/>
            </w:tcBorders>
          </w:tcPr>
          <w:p>
            <w:pPr>
              <w:pStyle w:val="Normal"/>
              <w:jc w:val="end"/>
              <w:rPr>
                <w:sz w:val="16"/>
              </w:rPr>
            </w:pPr>
            <w:r>
              <w:rPr>
                <w:sz w:val="16"/>
              </w:rPr>
              <w:t>21.0%</w:t>
            </w:r>
          </w:p>
        </w:tc>
      </w:tr>
      <w:tr>
        <w:trPr/>
        <w:tc>
          <w:tcPr>
            <w:tcW w:w="2700" w:type="dxa"/>
            <w:tcBorders>
              <w:top w:val="single" w:sz="4" w:space="0" w:color="000000"/>
              <w:start w:val="single" w:sz="12" w:space="0" w:color="000000"/>
              <w:bottom w:val="single" w:sz="12" w:space="0" w:color="000000"/>
              <w:end w:val="single" w:sz="4" w:space="0" w:color="000000"/>
            </w:tcBorders>
          </w:tcPr>
          <w:p>
            <w:pPr>
              <w:pStyle w:val="Normal"/>
              <w:rPr>
                <w:sz w:val="16"/>
              </w:rPr>
            </w:pPr>
            <w:r>
              <w:rPr>
                <w:sz w:val="16"/>
              </w:rPr>
              <w:t xml:space="preserve">  </w:t>
            </w:r>
            <w:r>
              <w:rPr>
                <w:sz w:val="16"/>
              </w:rPr>
              <w:t>% of Homes Passed by Cable</w:t>
            </w:r>
          </w:p>
        </w:tc>
        <w:tc>
          <w:tcPr>
            <w:tcW w:w="780" w:type="dxa"/>
            <w:tcBorders>
              <w:top w:val="single" w:sz="4" w:space="0" w:color="000000"/>
              <w:start w:val="single" w:sz="4" w:space="0" w:color="000000"/>
              <w:bottom w:val="single" w:sz="12" w:space="0" w:color="000000"/>
              <w:end w:val="single" w:sz="4" w:space="0" w:color="000000"/>
            </w:tcBorders>
          </w:tcPr>
          <w:p>
            <w:pPr>
              <w:pStyle w:val="Normal"/>
              <w:jc w:val="end"/>
              <w:rPr>
                <w:sz w:val="16"/>
              </w:rPr>
            </w:pPr>
            <w:r>
              <w:rPr>
                <w:sz w:val="16"/>
              </w:rPr>
              <w:t>0.1%</w:t>
            </w:r>
          </w:p>
        </w:tc>
        <w:tc>
          <w:tcPr>
            <w:tcW w:w="780" w:type="dxa"/>
            <w:tcBorders>
              <w:top w:val="single" w:sz="4" w:space="0" w:color="000000"/>
              <w:start w:val="single" w:sz="4" w:space="0" w:color="000000"/>
              <w:bottom w:val="single" w:sz="12" w:space="0" w:color="000000"/>
              <w:end w:val="single" w:sz="4" w:space="0" w:color="000000"/>
            </w:tcBorders>
          </w:tcPr>
          <w:p>
            <w:pPr>
              <w:pStyle w:val="Normal"/>
              <w:jc w:val="end"/>
              <w:rPr>
                <w:sz w:val="16"/>
              </w:rPr>
            </w:pPr>
            <w:r>
              <w:rPr>
                <w:sz w:val="16"/>
              </w:rPr>
              <w:t>1.7%</w:t>
            </w:r>
          </w:p>
        </w:tc>
        <w:tc>
          <w:tcPr>
            <w:tcW w:w="780" w:type="dxa"/>
            <w:tcBorders>
              <w:top w:val="single" w:sz="4" w:space="0" w:color="000000"/>
              <w:start w:val="single" w:sz="4" w:space="0" w:color="000000"/>
              <w:bottom w:val="single" w:sz="12" w:space="0" w:color="000000"/>
              <w:end w:val="single" w:sz="4" w:space="0" w:color="000000"/>
            </w:tcBorders>
          </w:tcPr>
          <w:p>
            <w:pPr>
              <w:pStyle w:val="Normal"/>
              <w:jc w:val="end"/>
              <w:rPr>
                <w:sz w:val="16"/>
              </w:rPr>
            </w:pPr>
            <w:r>
              <w:rPr>
                <w:sz w:val="16"/>
              </w:rPr>
              <w:t>5.2%</w:t>
            </w:r>
          </w:p>
        </w:tc>
        <w:tc>
          <w:tcPr>
            <w:tcW w:w="780" w:type="dxa"/>
            <w:tcBorders>
              <w:top w:val="single" w:sz="4" w:space="0" w:color="000000"/>
              <w:start w:val="single" w:sz="4" w:space="0" w:color="000000"/>
              <w:bottom w:val="single" w:sz="12" w:space="0" w:color="000000"/>
              <w:end w:val="double" w:sz="4" w:space="0" w:color="000000"/>
            </w:tcBorders>
          </w:tcPr>
          <w:p>
            <w:pPr>
              <w:pStyle w:val="Normal"/>
              <w:jc w:val="end"/>
              <w:rPr>
                <w:sz w:val="16"/>
              </w:rPr>
            </w:pPr>
            <w:r>
              <w:rPr>
                <w:sz w:val="16"/>
              </w:rPr>
              <w:t>13.8%</w:t>
            </w:r>
          </w:p>
        </w:tc>
        <w:tc>
          <w:tcPr>
            <w:tcW w:w="780" w:type="dxa"/>
            <w:tcBorders>
              <w:top w:val="single" w:sz="4" w:space="0" w:color="000000"/>
              <w:bottom w:val="single" w:sz="12" w:space="0" w:color="000000"/>
              <w:end w:val="single" w:sz="4" w:space="0" w:color="000000"/>
            </w:tcBorders>
          </w:tcPr>
          <w:p>
            <w:pPr>
              <w:pStyle w:val="Normal"/>
              <w:jc w:val="end"/>
              <w:rPr>
                <w:sz w:val="16"/>
              </w:rPr>
            </w:pPr>
            <w:r>
              <w:rPr>
                <w:sz w:val="16"/>
              </w:rPr>
              <w:t>24.2%</w:t>
            </w:r>
          </w:p>
        </w:tc>
        <w:tc>
          <w:tcPr>
            <w:tcW w:w="780" w:type="dxa"/>
            <w:tcBorders>
              <w:top w:val="single" w:sz="4" w:space="0" w:color="000000"/>
              <w:start w:val="single" w:sz="4" w:space="0" w:color="000000"/>
              <w:bottom w:val="single" w:sz="12" w:space="0" w:color="000000"/>
              <w:end w:val="single" w:sz="4" w:space="0" w:color="000000"/>
            </w:tcBorders>
          </w:tcPr>
          <w:p>
            <w:pPr>
              <w:pStyle w:val="Normal"/>
              <w:jc w:val="end"/>
              <w:rPr>
                <w:sz w:val="16"/>
              </w:rPr>
            </w:pPr>
            <w:r>
              <w:rPr>
                <w:sz w:val="16"/>
              </w:rPr>
              <w:t>36.7%</w:t>
            </w:r>
          </w:p>
        </w:tc>
        <w:tc>
          <w:tcPr>
            <w:tcW w:w="780" w:type="dxa"/>
            <w:tcBorders>
              <w:top w:val="single" w:sz="4" w:space="0" w:color="000000"/>
              <w:start w:val="single" w:sz="4" w:space="0" w:color="000000"/>
              <w:bottom w:val="single" w:sz="12" w:space="0" w:color="000000"/>
              <w:end w:val="single" w:sz="4" w:space="0" w:color="000000"/>
            </w:tcBorders>
          </w:tcPr>
          <w:p>
            <w:pPr>
              <w:pStyle w:val="Normal"/>
              <w:jc w:val="end"/>
              <w:rPr>
                <w:sz w:val="16"/>
              </w:rPr>
            </w:pPr>
            <w:r>
              <w:rPr>
                <w:sz w:val="16"/>
              </w:rPr>
              <w:t>49.4%</w:t>
            </w:r>
          </w:p>
        </w:tc>
        <w:tc>
          <w:tcPr>
            <w:tcW w:w="780" w:type="dxa"/>
            <w:tcBorders>
              <w:top w:val="single" w:sz="4" w:space="0" w:color="000000"/>
              <w:start w:val="single" w:sz="4" w:space="0" w:color="000000"/>
              <w:bottom w:val="single" w:sz="12" w:space="0" w:color="000000"/>
              <w:end w:val="single" w:sz="4" w:space="0" w:color="000000"/>
            </w:tcBorders>
          </w:tcPr>
          <w:p>
            <w:pPr>
              <w:pStyle w:val="Normal"/>
              <w:jc w:val="end"/>
              <w:rPr>
                <w:sz w:val="16"/>
              </w:rPr>
            </w:pPr>
            <w:r>
              <w:rPr>
                <w:sz w:val="16"/>
              </w:rPr>
              <w:t>62.7%</w:t>
            </w:r>
          </w:p>
        </w:tc>
        <w:tc>
          <w:tcPr>
            <w:tcW w:w="780" w:type="dxa"/>
            <w:tcBorders>
              <w:top w:val="single" w:sz="4" w:space="0" w:color="000000"/>
              <w:start w:val="single" w:sz="4" w:space="0" w:color="000000"/>
              <w:bottom w:val="single" w:sz="12" w:space="0" w:color="000000"/>
              <w:end w:val="single" w:sz="12" w:space="0" w:color="000000"/>
            </w:tcBorders>
          </w:tcPr>
          <w:p>
            <w:pPr>
              <w:pStyle w:val="Normal"/>
              <w:jc w:val="end"/>
              <w:rPr>
                <w:sz w:val="16"/>
              </w:rPr>
            </w:pPr>
            <w:r>
              <w:rPr>
                <w:sz w:val="16"/>
              </w:rPr>
              <w:t>75.0%</w:t>
            </w:r>
          </w:p>
        </w:tc>
      </w:tr>
    </w:tbl>
    <w:p>
      <w:pPr>
        <w:pStyle w:val="Normal"/>
        <w:rPr>
          <w:i/>
          <w:i/>
          <w:sz w:val="16"/>
        </w:rPr>
      </w:pPr>
      <w:r>
        <w:rPr>
          <w:i/>
          <w:sz w:val="16"/>
        </w:rPr>
        <w:t>Source:  Deutsche Banc Alex. Brown estimates and company information</w:t>
      </w:r>
    </w:p>
    <w:p>
      <w:pPr>
        <w:pStyle w:val="Normal"/>
        <w:rPr/>
      </w:pPr>
      <w:r>
        <w:rPr/>
        <w:t>The pdf file below contains information on the top 100 cable markets in the U.S. including the number of basic cable subscribers of each provider operating in the market.  Print the acrobat document for best results.</w:t>
      </w:r>
    </w:p>
    <w:p>
      <w:pPr>
        <w:pStyle w:val="Normal"/>
        <w:rPr/>
      </w:pPr>
      <w:r>
        <w:rPr/>
      </w:r>
    </w:p>
    <w:p>
      <w:pPr>
        <w:pStyle w:val="Normal"/>
        <w:rPr/>
      </w:pPr>
      <w:r>
        <w:rPr/>
      </w:r>
    </w:p>
    <w:p>
      <w:pPr>
        <w:pStyle w:val="Normal"/>
        <w:rPr/>
      </w:pPr>
      <w:r>
        <w:rPr/>
      </w:r>
    </w:p>
    <w:p>
      <w:pPr>
        <w:pStyle w:val="Normal"/>
        <w:rPr/>
      </w:pPr>
      <w:r>
        <w:rPr/>
        <w:object w:dxaOrig="2190" w:dyaOrig="1440">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position:absolute;margin-left:0pt;margin-top:0pt;width:109.5pt;height:72pt;mso-wrap-distance-left:9.05pt;mso-wrap-distance-right:9.05pt;mso-position-horizontal-relative:text;mso-position-vertical-relative:text" filled="f" o:ole="">
            <v:imagedata r:id="rId8" o:title=""/>
            <w10:wrap type="topAndBottom"/>
          </v:shape>
          <o:OLEObject Type="Embed" ProgID="" ShapeID="ole_rId7" DrawAspect="Content" ObjectID="_2014801551" r:id="rId7"/>
        </w:object>
      </w:r>
    </w:p>
    <w:sectPr>
      <w:footerReference w:type="default" r:id="rId9"/>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Market Intelligence</w:t>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2z0">
    <w:name w:val="WW8Num2z0"/>
    <w:qFormat/>
    <w:rPr>
      <w:rFonts w:ascii="Wingdings" w:hAnsi="Wingdings" w:cs="Wingdings"/>
      <w:color w:val="00000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2.png"/><Relationship Id="rId6" Type="http://schemas.openxmlformats.org/officeDocument/2006/relationships/footer" Target="footer1.xml"/><Relationship Id="rId7" Type="http://schemas.openxmlformats.org/officeDocument/2006/relationships/oleObject" Target="embeddings/oleObject3.bin"/><Relationship Id="rId8" Type="http://schemas.openxmlformats.org/officeDocument/2006/relationships/image" Target="media/image3.wmf"/><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2001-04-24T10:58:00Z</dcterms:created>
  <dc:creator>rita_hartfield</dc:creator>
  <dc:description/>
  <dc:language>en-CA</dc:language>
  <cp:lastModifiedBy>rita_hartfield</cp:lastModifiedBy>
  <cp:lastPrinted>2001-04-24T10:26:00Z</cp:lastPrinted>
  <dcterms:modified xsi:type="dcterms:W3CDTF">2001-04-24T13:22:00Z</dcterms:modified>
  <cp:revision>11</cp:revision>
  <dc:subject/>
  <dc:title> </dc:title>
</cp:coreProperties>
</file>