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jc w:val="center"/>
        <w:rPr>
          <w:b/>
          <w:sz w:val="28"/>
        </w:rPr>
      </w:pPr>
      <w:r>
        <w:rPr>
          <w:b/>
          <w:sz w:val="28"/>
        </w:rPr>
        <w:t>Marc K. O. Sabine</w:t>
      </w:r>
    </w:p>
    <w:p>
      <w:pPr>
        <w:pStyle w:val="BodyTextIndent2"/>
        <w:rPr>
          <w:b/>
          <w:sz w:val="28"/>
        </w:rPr>
      </w:pPr>
      <w:r>
        <w:rPr>
          <w:b/>
          <w:sz w:val="28"/>
        </w:rPr>
      </w:r>
    </w:p>
    <w:p>
      <w:pPr>
        <w:pStyle w:val="BodyTextIndent2"/>
        <w:jc w:val="center"/>
        <w:rPr>
          <w:b/>
          <w:sz w:val="22"/>
          <w:u w:val="single"/>
        </w:rPr>
      </w:pPr>
      <w:r>
        <w:rPr>
          <w:b/>
          <w:sz w:val="22"/>
          <w:u w:val="single"/>
        </w:rPr>
        <w:t>List of Accomplishments – June 2001</w:t>
      </w:r>
    </w:p>
    <w:p>
      <w:pPr>
        <w:pStyle w:val="BodyTextIndent2"/>
        <w:rPr>
          <w:b/>
          <w:sz w:val="22"/>
          <w:u w:val="single"/>
        </w:rPr>
      </w:pPr>
      <w:r>
        <w:rPr>
          <w:b/>
          <w:sz w:val="22"/>
          <w:u w:val="single"/>
        </w:rPr>
      </w:r>
    </w:p>
    <w:p>
      <w:pPr>
        <w:pStyle w:val="BodyTextIndent2"/>
        <w:rPr>
          <w:b/>
          <w:sz w:val="21"/>
        </w:rPr>
      </w:pPr>
      <w:r>
        <w:rPr>
          <w:b/>
          <w:sz w:val="21"/>
        </w:rPr>
        <w:t>General Accomplishments:</w:t>
      </w:r>
    </w:p>
    <w:p>
      <w:pPr>
        <w:pStyle w:val="BodyTextIndent2"/>
        <w:rPr>
          <w:b/>
          <w:sz w:val="21"/>
        </w:rPr>
      </w:pPr>
      <w:r>
        <w:rPr>
          <w:b/>
          <w:sz w:val="21"/>
        </w:rPr>
      </w:r>
    </w:p>
    <w:p>
      <w:pPr>
        <w:pStyle w:val="BodyTextIndent2"/>
        <w:tabs>
          <w:tab w:val="clear" w:pos="9900"/>
        </w:tabs>
        <w:ind w:hanging="360" w:start="810" w:end="0"/>
        <w:jc w:val="start"/>
        <w:rPr>
          <w:sz w:val="21"/>
        </w:rPr>
      </w:pPr>
      <w:r>
        <w:rPr>
          <w:sz w:val="21"/>
        </w:rPr>
        <w:t>1.</w:t>
        <w:tab/>
        <w:t xml:space="preserve">Directed, managed and analyzed all aspects of development and execution for proposed power projects as well as cross border power transactions, including: power purchase agreements, interconnection agreements, wheeling agreements, engineering, procurement and construction contracts and services, operations management agreements, tax structures,  finance structures including loan agreements,  project returns, exit strategy,  and credit and other risk analysis.  </w:t>
      </w:r>
    </w:p>
    <w:p>
      <w:pPr>
        <w:pStyle w:val="BodyTextIndent2"/>
        <w:tabs>
          <w:tab w:val="clear" w:pos="9900"/>
          <w:tab w:val="left" w:pos="450" w:leader="none"/>
        </w:tabs>
        <w:ind w:hanging="360" w:start="810" w:end="0"/>
        <w:jc w:val="start"/>
        <w:rPr>
          <w:sz w:val="21"/>
        </w:rPr>
      </w:pPr>
      <w:r>
        <w:rPr>
          <w:sz w:val="21"/>
        </w:rPr>
        <w:t>2.</w:t>
        <w:tab/>
        <w:t>Member of commercial team involved in all customer meetings to negotiate contract terms and prices and to sell products.</w:t>
      </w:r>
    </w:p>
    <w:p>
      <w:pPr>
        <w:pStyle w:val="BodyTextIndent2"/>
        <w:numPr>
          <w:ilvl w:val="0"/>
          <w:numId w:val="4"/>
        </w:numPr>
        <w:tabs>
          <w:tab w:val="clear" w:pos="9900"/>
          <w:tab w:val="left" w:pos="450" w:leader="none"/>
        </w:tabs>
        <w:jc w:val="start"/>
        <w:rPr>
          <w:sz w:val="21"/>
        </w:rPr>
      </w:pPr>
      <w:r>
        <w:rPr>
          <w:sz w:val="21"/>
        </w:rPr>
        <w:t>Understand regulatory environment relating to energy projects in Mexico, including having a profound understanding the CFE.</w:t>
      </w:r>
    </w:p>
    <w:p>
      <w:pPr>
        <w:pStyle w:val="BodyTextIndent2"/>
        <w:tabs>
          <w:tab w:val="clear" w:pos="9900"/>
          <w:tab w:val="left" w:pos="450" w:leader="none"/>
        </w:tabs>
        <w:jc w:val="start"/>
        <w:rPr>
          <w:sz w:val="21"/>
        </w:rPr>
      </w:pPr>
      <w:r>
        <w:rPr>
          <w:sz w:val="21"/>
        </w:rPr>
      </w:r>
    </w:p>
    <w:p>
      <w:pPr>
        <w:pStyle w:val="BodyTextIndent2"/>
        <w:tabs>
          <w:tab w:val="clear" w:pos="9900"/>
          <w:tab w:val="left" w:pos="450" w:leader="none"/>
        </w:tabs>
        <w:jc w:val="start"/>
        <w:rPr>
          <w:b/>
          <w:sz w:val="21"/>
        </w:rPr>
      </w:pPr>
      <w:r>
        <w:rPr>
          <w:b/>
          <w:sz w:val="21"/>
        </w:rPr>
        <w:t>Specific Accomplishments:</w:t>
      </w:r>
    </w:p>
    <w:p>
      <w:pPr>
        <w:pStyle w:val="BodyTextIndent2"/>
        <w:tabs>
          <w:tab w:val="clear" w:pos="9900"/>
          <w:tab w:val="left" w:pos="450" w:leader="none"/>
        </w:tabs>
        <w:jc w:val="start"/>
        <w:rPr>
          <w:b/>
          <w:sz w:val="21"/>
        </w:rPr>
      </w:pPr>
      <w:r>
        <w:rPr>
          <w:b/>
          <w:sz w:val="21"/>
        </w:rPr>
      </w:r>
    </w:p>
    <w:p>
      <w:pPr>
        <w:pStyle w:val="BodyTextIndent2"/>
        <w:tabs>
          <w:tab w:val="clear" w:pos="9900"/>
          <w:tab w:val="left" w:pos="450" w:leader="none"/>
        </w:tabs>
        <w:jc w:val="start"/>
        <w:rPr>
          <w:b/>
          <w:i/>
          <w:i/>
          <w:sz w:val="21"/>
        </w:rPr>
      </w:pPr>
      <w:r>
        <w:rPr>
          <w:b/>
          <w:i/>
          <w:sz w:val="21"/>
        </w:rPr>
        <w:t>Vitro Project:</w:t>
      </w:r>
    </w:p>
    <w:p>
      <w:pPr>
        <w:pStyle w:val="BodyTextIndent2"/>
        <w:tabs>
          <w:tab w:val="clear" w:pos="9900"/>
          <w:tab w:val="left" w:pos="450" w:leader="none"/>
        </w:tabs>
        <w:jc w:val="start"/>
        <w:rPr>
          <w:b/>
          <w:i/>
          <w:i/>
          <w:sz w:val="21"/>
        </w:rPr>
      </w:pPr>
      <w:r>
        <w:rPr>
          <w:b/>
          <w:i/>
          <w:sz w:val="21"/>
        </w:rPr>
      </w:r>
    </w:p>
    <w:p>
      <w:pPr>
        <w:pStyle w:val="BodyTextIndent2"/>
        <w:numPr>
          <w:ilvl w:val="0"/>
          <w:numId w:val="2"/>
        </w:numPr>
        <w:tabs>
          <w:tab w:val="clear" w:pos="9900"/>
          <w:tab w:val="left" w:pos="450" w:leader="none"/>
        </w:tabs>
        <w:jc w:val="start"/>
        <w:rPr>
          <w:sz w:val="21"/>
        </w:rPr>
      </w:pPr>
      <w:r>
        <w:rPr>
          <w:sz w:val="21"/>
        </w:rPr>
        <w:t>Equity Sale – Involved in all aspects of the sale of equity in the project from the evaluation of the project to putting together presentations and information memos including:</w:t>
      </w:r>
    </w:p>
    <w:p>
      <w:pPr>
        <w:pStyle w:val="BodyTextIndent2"/>
        <w:numPr>
          <w:ilvl w:val="0"/>
          <w:numId w:val="3"/>
        </w:numPr>
        <w:tabs>
          <w:tab w:val="clear" w:pos="9900"/>
          <w:tab w:val="left" w:pos="450" w:leader="none"/>
        </w:tabs>
        <w:jc w:val="start"/>
        <w:rPr>
          <w:sz w:val="21"/>
        </w:rPr>
      </w:pPr>
      <w:r>
        <w:rPr>
          <w:sz w:val="21"/>
        </w:rPr>
        <w:t>Presentations to potential buyers – explaining the project and specific contracts.</w:t>
      </w:r>
    </w:p>
    <w:p>
      <w:pPr>
        <w:pStyle w:val="BodyTextIndent2"/>
        <w:numPr>
          <w:ilvl w:val="0"/>
          <w:numId w:val="3"/>
        </w:numPr>
        <w:tabs>
          <w:tab w:val="clear" w:pos="9900"/>
          <w:tab w:val="left" w:pos="450" w:leader="none"/>
        </w:tabs>
        <w:jc w:val="start"/>
        <w:rPr>
          <w:sz w:val="21"/>
        </w:rPr>
      </w:pPr>
      <w:r>
        <w:rPr>
          <w:sz w:val="21"/>
        </w:rPr>
        <w:t>Evaluating proposed tax structure and how they could benefit the project and maximize the value of the sale.</w:t>
      </w:r>
    </w:p>
    <w:p>
      <w:pPr>
        <w:pStyle w:val="BodyTextIndent2"/>
        <w:numPr>
          <w:ilvl w:val="0"/>
          <w:numId w:val="2"/>
        </w:numPr>
        <w:tabs>
          <w:tab w:val="clear" w:pos="9900"/>
          <w:tab w:val="left" w:pos="450" w:leader="none"/>
        </w:tabs>
        <w:jc w:val="start"/>
        <w:rPr>
          <w:sz w:val="21"/>
        </w:rPr>
      </w:pPr>
      <w:r>
        <w:rPr>
          <w:sz w:val="21"/>
        </w:rPr>
        <w:t>First Disbursement and Budgeting – keeping track of monthly costs of the project and managing the projects Debt to Equity ratio in relation to the first disbursement of funds from the Lenders to the Project.  Maintaining models that track the projects actual costs to date as well as projecting future cost to maximize savings and minimize cost overruns.</w:t>
      </w:r>
    </w:p>
    <w:p>
      <w:pPr>
        <w:pStyle w:val="BodyTextIndent2"/>
        <w:numPr>
          <w:ilvl w:val="0"/>
          <w:numId w:val="2"/>
        </w:numPr>
        <w:tabs>
          <w:tab w:val="clear" w:pos="9900"/>
          <w:tab w:val="left" w:pos="450" w:leader="none"/>
        </w:tabs>
        <w:jc w:val="start"/>
        <w:rPr>
          <w:sz w:val="21"/>
        </w:rPr>
      </w:pPr>
      <w:r>
        <w:rPr>
          <w:sz w:val="21"/>
        </w:rPr>
        <w:t>OE Management – managing the owner’s engineers through their day to day activities.  Coordinating meetings with the CFE and contractor as well as general EPC Contract management.</w:t>
      </w:r>
    </w:p>
    <w:p>
      <w:pPr>
        <w:pStyle w:val="BodyTextIndent2"/>
        <w:tabs>
          <w:tab w:val="clear" w:pos="9900"/>
          <w:tab w:val="left" w:pos="450" w:leader="none"/>
        </w:tabs>
        <w:jc w:val="start"/>
        <w:rPr>
          <w:sz w:val="21"/>
        </w:rPr>
      </w:pPr>
      <w:r>
        <w:rPr>
          <w:sz w:val="21"/>
        </w:rPr>
      </w:r>
    </w:p>
    <w:p>
      <w:pPr>
        <w:pStyle w:val="BodyTextIndent2"/>
        <w:tabs>
          <w:tab w:val="clear" w:pos="9900"/>
          <w:tab w:val="left" w:pos="450" w:leader="none"/>
        </w:tabs>
        <w:jc w:val="start"/>
        <w:rPr>
          <w:b/>
          <w:i/>
          <w:i/>
          <w:sz w:val="21"/>
        </w:rPr>
      </w:pPr>
      <w:r>
        <w:rPr>
          <w:b/>
          <w:i/>
          <w:sz w:val="21"/>
        </w:rPr>
        <w:t>Texmex Project:</w:t>
      </w:r>
    </w:p>
    <w:p>
      <w:pPr>
        <w:pStyle w:val="BodyTextIndent2"/>
        <w:tabs>
          <w:tab w:val="clear" w:pos="9900"/>
          <w:tab w:val="left" w:pos="450" w:leader="none"/>
        </w:tabs>
        <w:jc w:val="start"/>
        <w:rPr>
          <w:b/>
          <w:i/>
          <w:i/>
          <w:sz w:val="21"/>
        </w:rPr>
      </w:pPr>
      <w:r>
        <w:rPr>
          <w:b/>
          <w:i/>
          <w:sz w:val="21"/>
        </w:rPr>
      </w:r>
    </w:p>
    <w:p>
      <w:pPr>
        <w:pStyle w:val="BodyTextIndent2"/>
        <w:numPr>
          <w:ilvl w:val="0"/>
          <w:numId w:val="1"/>
        </w:numPr>
        <w:tabs>
          <w:tab w:val="clear" w:pos="9900"/>
        </w:tabs>
        <w:jc w:val="start"/>
        <w:rPr>
          <w:sz w:val="21"/>
        </w:rPr>
      </w:pPr>
      <w:r>
        <w:rPr>
          <w:sz w:val="21"/>
        </w:rPr>
        <w:t>Integral part of the Mexican Commercial team to develop, sell and sign the first PPA for an interconnection deal between Mexico and the USA for 112 MW with DeAcero S.A. de C.V.</w:t>
      </w:r>
    </w:p>
    <w:p>
      <w:pPr>
        <w:pStyle w:val="BodyTextIndent2"/>
        <w:numPr>
          <w:ilvl w:val="0"/>
          <w:numId w:val="1"/>
        </w:numPr>
        <w:tabs>
          <w:tab w:val="clear" w:pos="9900"/>
          <w:tab w:val="left" w:pos="810" w:leader="none"/>
        </w:tabs>
        <w:jc w:val="start"/>
        <w:rPr>
          <w:sz w:val="21"/>
        </w:rPr>
      </w:pPr>
      <w:r>
        <w:rPr>
          <w:sz w:val="21"/>
        </w:rPr>
        <w:t>Key commercial person responsible for negotiations with the CFE for the interconnection point, wheeling and all CFE Contracts.</w:t>
      </w:r>
    </w:p>
    <w:p>
      <w:pPr>
        <w:pStyle w:val="BodyTextIndent2"/>
        <w:numPr>
          <w:ilvl w:val="0"/>
          <w:numId w:val="1"/>
        </w:numPr>
        <w:tabs>
          <w:tab w:val="clear" w:pos="9900"/>
          <w:tab w:val="left" w:pos="810" w:leader="none"/>
        </w:tabs>
        <w:jc w:val="start"/>
        <w:rPr>
          <w:sz w:val="21"/>
        </w:rPr>
      </w:pPr>
      <w:r>
        <w:rPr>
          <w:sz w:val="21"/>
        </w:rPr>
        <w:t>Worked closely with DeAcero developing and building models to understand their load and to help them understand how the deal will work and where they will receive value and savings.</w:t>
      </w:r>
    </w:p>
    <w:p>
      <w:pPr>
        <w:pStyle w:val="BodyTextIndent2"/>
        <w:numPr>
          <w:ilvl w:val="0"/>
          <w:numId w:val="1"/>
        </w:numPr>
        <w:tabs>
          <w:tab w:val="clear" w:pos="9900"/>
          <w:tab w:val="left" w:pos="810" w:leader="none"/>
        </w:tabs>
        <w:jc w:val="start"/>
        <w:rPr>
          <w:sz w:val="21"/>
        </w:rPr>
      </w:pPr>
      <w:r>
        <w:rPr>
          <w:sz w:val="21"/>
        </w:rPr>
        <w:t>Bridged the gap between the Mexico and US groups to make the transaction a successful one.</w:t>
      </w:r>
    </w:p>
    <w:p>
      <w:pPr>
        <w:pStyle w:val="BodyTextIndent2"/>
        <w:numPr>
          <w:ilvl w:val="0"/>
          <w:numId w:val="1"/>
        </w:numPr>
        <w:tabs>
          <w:tab w:val="clear" w:pos="9900"/>
          <w:tab w:val="left" w:pos="810" w:leader="none"/>
        </w:tabs>
        <w:jc w:val="start"/>
        <w:rPr>
          <w:sz w:val="22"/>
        </w:rPr>
      </w:pPr>
      <w:r>
        <w:rPr>
          <w:sz w:val="21"/>
        </w:rPr>
        <w:t>Key commercial person responsible for marketing to other potential off-takers of the project including Kimberly-Clark, Axa, Autlan, Femsa and Alfa.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810"/>
        </w:tabs>
        <w:ind w:start="810" w:hanging="360"/>
      </w:pPr>
      <w:rPr/>
    </w:lvl>
  </w:abstractNum>
  <w:abstractNum w:abstractNumId="2">
    <w:lvl w:ilvl="0">
      <w:start w:val="1"/>
      <w:numFmt w:val="decimal"/>
      <w:lvlText w:val="%1."/>
      <w:lvlJc w:val="start"/>
      <w:pPr>
        <w:tabs>
          <w:tab w:val="num" w:pos="810"/>
        </w:tabs>
        <w:ind w:start="810" w:hanging="360"/>
      </w:pPr>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abstractNum w:abstractNumId="4">
    <w:lvl w:ilvl="0">
      <w:start w:val="3"/>
      <w:numFmt w:val="decimal"/>
      <w:lvlText w:val="%1."/>
      <w:lvlJc w:val="start"/>
      <w:pPr>
        <w:tabs>
          <w:tab w:val="num" w:pos="810"/>
        </w:tabs>
        <w:ind w:start="81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9900" w:leader="none"/>
      </w:tabs>
      <w:ind w:hanging="0" w:start="450" w:end="0"/>
      <w:jc w:val="both"/>
    </w:pPr>
    <w:rPr/>
  </w:style>
  <w:style w:type="paragraph" w:styleId="DefaultParagraphFont1">
    <w:name w:val="Default Paragraph Font1"/>
    <w:next w:val="Normal"/>
    <w:qFormat/>
    <w:pPr>
      <w:widowControl/>
      <w:bidi w:val="0"/>
    </w:pPr>
    <w:rPr>
      <w:rFonts w:ascii="Courier" w:hAnsi="Courier" w:eastAsia="Times New Roman" w:cs="Courier"/>
      <w:color w:val="auto"/>
      <w:sz w:val="20"/>
      <w:szCs w:val="20"/>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2001-07-02T13:38:00Z</dcterms:created>
  <dc:creator>msabine</dc:creator>
  <dc:description/>
  <dc:language>en-CA</dc:language>
  <cp:lastModifiedBy>Marc K. O. Sabine</cp:lastModifiedBy>
  <cp:lastPrinted>2000-12-05T08:58:00Z</cp:lastPrinted>
  <dcterms:modified xsi:type="dcterms:W3CDTF">2001-07-02T14:08:00Z</dcterms:modified>
  <cp:revision>7</cp:revision>
  <dc:subject/>
  <dc:title>Marc K</dc:title>
</cp:coreProperties>
</file>