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jc w:val="center"/>
        <w:rPr>
          <w:sz w:val="24"/>
        </w:rPr>
      </w:pPr>
      <w:r>
        <w:rPr>
          <w:sz w:val="24"/>
        </w:rPr>
        <w:t>Marc A. Hensel</w:t>
      </w:r>
    </w:p>
    <w:p>
      <w:pPr>
        <w:pStyle w:val="Normal"/>
        <w:ind w:end="-180"/>
        <w:jc w:val="center"/>
        <w:rPr>
          <w:rFonts w:ascii="Arial" w:hAnsi="Arial" w:cs="Arial"/>
          <w:b/>
          <w:bCs/>
        </w:rPr>
      </w:pPr>
      <w:r>
        <w:rPr>
          <w:rFonts w:cs="Arial" w:ascii="Arial" w:hAnsi="Arial"/>
          <w:b/>
          <w:bCs/>
        </w:rPr>
        <w:t>6910 Ferris St.  Bellaire, TX 77401</w:t>
      </w:r>
    </w:p>
    <w:p>
      <w:pPr>
        <w:pStyle w:val="Normal"/>
        <w:ind w:end="-180"/>
        <w:jc w:val="center"/>
        <w:rPr>
          <w:rFonts w:ascii="Arial" w:hAnsi="Arial" w:cs="Arial"/>
          <w:b/>
          <w:bCs/>
        </w:rPr>
      </w:pPr>
      <w:r>
        <w:rPr>
          <w:rFonts w:cs="Arial" w:ascii="Arial" w:hAnsi="Arial"/>
          <w:b/>
          <w:bCs/>
        </w:rPr>
        <w:t>Office: (713) 853-6578  Home: (713) 661-1492</w:t>
      </w:r>
    </w:p>
    <w:p>
      <w:pPr>
        <w:pStyle w:val="Normal"/>
        <w:ind w:end="-180"/>
        <w:jc w:val="center"/>
        <w:rPr>
          <w:rFonts w:ascii="Arial" w:hAnsi="Arial" w:cs="Arial"/>
        </w:rPr>
      </w:pPr>
      <w:r>
        <w:rPr>
          <w:rFonts w:cs="Arial" w:ascii="Arial" w:hAnsi="Arial"/>
          <w:b/>
          <w:bCs/>
        </w:rPr>
        <w:t>henselma@yahoo.com</w:t>
      </w:r>
    </w:p>
    <w:p>
      <w:pPr>
        <w:pStyle w:val="Heading1"/>
        <w:ind w:end="-432"/>
        <w:jc w:val="both"/>
        <w:rPr>
          <w:rFonts w:ascii="Arial" w:hAnsi="Arial" w:cs="Arial"/>
        </w:rPr>
      </w:pPr>
      <w:r>
        <w:rPr>
          <w:rFonts w:cs="Arial" w:ascii="Arial" w:hAnsi="Arial"/>
        </w:rPr>
      </w:r>
    </w:p>
    <w:p>
      <w:pPr>
        <w:pStyle w:val="Heading1"/>
        <w:jc w:val="both"/>
        <w:rPr>
          <w:rFonts w:ascii="Arial" w:hAnsi="Arial" w:cs="Arial"/>
        </w:rPr>
      </w:pPr>
      <w:r>
        <w:rPr>
          <w:rFonts w:cs="Arial" w:ascii="Arial" w:hAnsi="Arial"/>
        </w:rPr>
        <w:t>Professional Experience</w:t>
      </w:r>
    </w:p>
    <w:p>
      <w:pPr>
        <w:pStyle w:val="Normal"/>
        <w:tabs>
          <w:tab w:val="clear" w:pos="720"/>
          <w:tab w:val="left" w:pos="180" w:leader="none"/>
          <w:tab w:val="left" w:pos="8280" w:leader="none"/>
        </w:tabs>
        <w:ind w:end="-720"/>
        <w:jc w:val="both"/>
        <w:rPr/>
      </w:pPr>
      <w:r>
        <w:rPr>
          <w:rFonts w:cs="Arial" w:ascii="Arial" w:hAnsi="Arial"/>
        </w:rPr>
        <w:tab/>
      </w:r>
      <w:r>
        <w:rPr>
          <w:rFonts w:cs="Arial" w:ascii="Arial" w:hAnsi="Arial"/>
          <w:b/>
          <w:bCs/>
        </w:rPr>
        <w:t>Enron Corp., Houston, TX</w:t>
        <w:tab/>
      </w:r>
      <w:r>
        <w:rPr>
          <w:rFonts w:cs="Arial" w:ascii="Arial" w:hAnsi="Arial"/>
        </w:rPr>
        <w:t>1999-present</w:t>
      </w:r>
    </w:p>
    <w:p>
      <w:pPr>
        <w:pStyle w:val="BodyText"/>
        <w:rPr/>
      </w:pPr>
      <w:r>
        <w:rPr/>
        <w:tab/>
        <w:t>Director, Enron Broadband Services, Business Development</w:t>
        <w:tab/>
        <w:t>2000-present</w:t>
      </w:r>
    </w:p>
    <w:p>
      <w:pPr>
        <w:pStyle w:val="Normal"/>
        <w:numPr>
          <w:ilvl w:val="0"/>
          <w:numId w:val="4"/>
        </w:numPr>
        <w:jc w:val="both"/>
        <w:rPr>
          <w:rFonts w:ascii="Arial" w:hAnsi="Arial" w:cs="Arial"/>
        </w:rPr>
      </w:pPr>
      <w:r>
        <w:rPr>
          <w:rFonts w:cs="Arial" w:ascii="Arial" w:hAnsi="Arial"/>
        </w:rPr>
        <w:t>Currently pursuing disposition of certain non-core telecommunication assets.</w:t>
      </w:r>
    </w:p>
    <w:p>
      <w:pPr>
        <w:pStyle w:val="Normal"/>
        <w:numPr>
          <w:ilvl w:val="0"/>
          <w:numId w:val="4"/>
        </w:numPr>
        <w:jc w:val="both"/>
        <w:rPr>
          <w:rFonts w:ascii="Arial" w:hAnsi="Arial" w:cs="Arial"/>
        </w:rPr>
      </w:pPr>
      <w:r>
        <w:rPr>
          <w:rFonts w:cs="Arial" w:ascii="Arial" w:hAnsi="Arial"/>
        </w:rPr>
        <w:t>Currently structuring private equity investment and strategic partnership with a technology company for the deployment of telecommunication, entertainment and anti-idling services to the transportation industry.</w:t>
      </w:r>
    </w:p>
    <w:p>
      <w:pPr>
        <w:pStyle w:val="Normal"/>
        <w:numPr>
          <w:ilvl w:val="0"/>
          <w:numId w:val="4"/>
        </w:numPr>
        <w:jc w:val="both"/>
        <w:rPr>
          <w:rFonts w:ascii="Arial" w:hAnsi="Arial" w:cs="Arial"/>
        </w:rPr>
      </w:pPr>
      <w:r>
        <w:rPr>
          <w:rFonts w:cs="Arial" w:ascii="Arial" w:hAnsi="Arial"/>
        </w:rPr>
        <w:t>Team lead for the development of risk management products for the advertising industry as part of Enron’s initiative to expand its risk management and trading services.</w:t>
      </w:r>
    </w:p>
    <w:p>
      <w:pPr>
        <w:pStyle w:val="Normal"/>
        <w:numPr>
          <w:ilvl w:val="0"/>
          <w:numId w:val="5"/>
        </w:numPr>
        <w:tabs>
          <w:tab w:val="clear" w:pos="720"/>
          <w:tab w:val="left" w:pos="900" w:leader="none"/>
        </w:tabs>
        <w:ind w:hanging="360" w:start="900" w:end="0"/>
        <w:jc w:val="both"/>
        <w:rPr>
          <w:rFonts w:ascii="Arial" w:hAnsi="Arial" w:cs="Arial"/>
        </w:rPr>
      </w:pPr>
      <w:r>
        <w:rPr>
          <w:rFonts w:cs="Arial" w:ascii="Arial" w:hAnsi="Arial"/>
        </w:rPr>
        <w:t>Member of management team responsible for developing Enron’s broadband content business.  Specifically responsible for implementing and re-negotiating the agreement with Blockbuster Inc. for the delivery of movies on-demand.  Heavily involved in negotiations with content providers, technology vendors, and broadband services providers.</w:t>
      </w:r>
    </w:p>
    <w:p>
      <w:pPr>
        <w:pStyle w:val="Normal"/>
        <w:numPr>
          <w:ilvl w:val="0"/>
          <w:numId w:val="5"/>
        </w:numPr>
        <w:tabs>
          <w:tab w:val="clear" w:pos="720"/>
          <w:tab w:val="left" w:pos="900" w:leader="none"/>
        </w:tabs>
        <w:ind w:hanging="360" w:start="900" w:end="0"/>
        <w:jc w:val="both"/>
        <w:rPr>
          <w:rFonts w:ascii="Arial" w:hAnsi="Arial" w:cs="Arial"/>
        </w:rPr>
      </w:pPr>
      <w:r>
        <w:rPr>
          <w:rFonts w:cs="Arial" w:ascii="Arial" w:hAnsi="Arial"/>
        </w:rPr>
        <w:t>Led EBS’ distribution team that closed eight agreements for digital broadband content distribution with regional bell operating companies, competitive local exchange carriers, multiple system operators, and cable overbuilders.  Oversaw the customer activation team that implemented the successful launch of EBS’ video on-demand product in December 2000.</w:t>
      </w:r>
    </w:p>
    <w:p>
      <w:pPr>
        <w:pStyle w:val="Normal"/>
        <w:numPr>
          <w:ilvl w:val="0"/>
          <w:numId w:val="5"/>
        </w:numPr>
        <w:tabs>
          <w:tab w:val="clear" w:pos="720"/>
          <w:tab w:val="left" w:pos="900" w:leader="none"/>
        </w:tabs>
        <w:ind w:hanging="360" w:start="900" w:end="0"/>
        <w:jc w:val="both"/>
        <w:rPr>
          <w:rFonts w:ascii="Arial" w:hAnsi="Arial" w:cs="Arial"/>
        </w:rPr>
      </w:pPr>
      <w:r>
        <w:rPr>
          <w:rFonts w:cs="Arial" w:ascii="Arial" w:hAnsi="Arial"/>
        </w:rPr>
        <w:t>Led the commercial start up of Enron’s Media Productions business group. Developed business plan and deal execution process for the interaction of the origination, structuring, and product development groups.</w:t>
      </w:r>
    </w:p>
    <w:p>
      <w:pPr>
        <w:pStyle w:val="Normal"/>
        <w:numPr>
          <w:ilvl w:val="0"/>
          <w:numId w:val="5"/>
        </w:numPr>
        <w:tabs>
          <w:tab w:val="clear" w:pos="720"/>
          <w:tab w:val="left" w:pos="900" w:leader="none"/>
        </w:tabs>
        <w:ind w:hanging="360" w:start="900" w:end="0"/>
        <w:jc w:val="both"/>
        <w:rPr>
          <w:rFonts w:ascii="Arial" w:hAnsi="Arial" w:cs="Arial"/>
        </w:rPr>
      </w:pPr>
      <w:r>
        <w:rPr>
          <w:rFonts w:cs="Arial" w:ascii="Arial" w:hAnsi="Arial"/>
        </w:rPr>
        <w:t>Ranked in top performance category in Enron’s performance review process for entire career with Enron.</w:t>
      </w:r>
    </w:p>
    <w:p>
      <w:pPr>
        <w:pStyle w:val="Normal"/>
        <w:ind w:start="1440" w:end="-720"/>
        <w:jc w:val="both"/>
        <w:rPr>
          <w:rFonts w:ascii="Arial" w:hAnsi="Arial" w:cs="Arial"/>
        </w:rPr>
      </w:pPr>
      <w:r>
        <w:rPr>
          <w:rFonts w:cs="Arial" w:ascii="Arial" w:hAnsi="Arial"/>
        </w:rPr>
      </w:r>
    </w:p>
    <w:p>
      <w:pPr>
        <w:pStyle w:val="Normal"/>
        <w:ind w:start="360" w:end="-720"/>
        <w:jc w:val="both"/>
        <w:rPr>
          <w:rFonts w:ascii="Arial" w:hAnsi="Arial" w:cs="Arial"/>
        </w:rPr>
      </w:pPr>
      <w:r>
        <w:rPr>
          <w:rFonts w:cs="Arial" w:ascii="Arial" w:hAnsi="Arial"/>
        </w:rPr>
        <w:t>Manager, Enron International, Mergers &amp; Acquisitions</w:t>
        <w:tab/>
        <w:tab/>
        <w:tab/>
        <w:tab/>
        <w:t xml:space="preserve">        1999</w:t>
      </w:r>
    </w:p>
    <w:p>
      <w:pPr>
        <w:pStyle w:val="Normal"/>
        <w:numPr>
          <w:ilvl w:val="0"/>
          <w:numId w:val="3"/>
        </w:numPr>
        <w:tabs>
          <w:tab w:val="clear" w:pos="720"/>
          <w:tab w:val="left" w:pos="900" w:leader="none"/>
        </w:tabs>
        <w:ind w:hanging="360" w:start="900" w:end="0"/>
        <w:jc w:val="both"/>
        <w:rPr>
          <w:rFonts w:ascii="Arial" w:hAnsi="Arial" w:cs="Arial"/>
        </w:rPr>
      </w:pPr>
      <w:r>
        <w:rPr>
          <w:rFonts w:cs="Arial" w:ascii="Arial" w:hAnsi="Arial"/>
        </w:rPr>
        <w:t>Deal lead for acquisition of the 2</w:t>
      </w:r>
      <w:r>
        <w:rPr>
          <w:rFonts w:cs="Arial" w:ascii="Arial" w:hAnsi="Arial"/>
          <w:vertAlign w:val="superscript"/>
        </w:rPr>
        <w:t>nd</w:t>
      </w:r>
      <w:r>
        <w:rPr>
          <w:rFonts w:cs="Arial" w:ascii="Arial" w:hAnsi="Arial"/>
        </w:rPr>
        <w:t xml:space="preserve"> largest LPG distribution company in Venezuela and merger with Enron’s existing investments in Industrias Ventane.  Industrias Ventane has successfully implemented numerous operational improvements, restructuring initiatives, additional acquisitions recommended during the merger process, and as a result has achieved substantial profitability and cash flow improvements.</w:t>
      </w:r>
    </w:p>
    <w:p>
      <w:pPr>
        <w:pStyle w:val="Normal"/>
        <w:numPr>
          <w:ilvl w:val="0"/>
          <w:numId w:val="3"/>
        </w:numPr>
        <w:tabs>
          <w:tab w:val="clear" w:pos="720"/>
          <w:tab w:val="left" w:pos="900" w:leader="none"/>
        </w:tabs>
        <w:ind w:hanging="360" w:start="900" w:end="0"/>
        <w:jc w:val="both"/>
        <w:rPr>
          <w:rFonts w:ascii="Arial" w:hAnsi="Arial" w:cs="Arial"/>
        </w:rPr>
      </w:pPr>
      <w:r>
        <w:rPr>
          <w:rFonts w:cs="Arial" w:ascii="Arial" w:hAnsi="Arial"/>
        </w:rPr>
        <w:t>As member of finance origination group completed three structured finance transactions that resulted in $5 million of transaction fees, as well as service contracts for Enron’s trading and construction management business.</w:t>
      </w:r>
    </w:p>
    <w:p>
      <w:pPr>
        <w:pStyle w:val="Normal"/>
        <w:ind w:start="720" w:end="-720"/>
        <w:jc w:val="both"/>
        <w:rPr>
          <w:rFonts w:ascii="Arial" w:hAnsi="Arial" w:cs="Arial"/>
          <w:b/>
          <w:bCs/>
        </w:rPr>
      </w:pPr>
      <w:r>
        <w:rPr>
          <w:rFonts w:cs="Arial" w:ascii="Arial" w:hAnsi="Arial"/>
          <w:b/>
          <w:bCs/>
        </w:rPr>
      </w:r>
    </w:p>
    <w:p>
      <w:pPr>
        <w:pStyle w:val="Normal"/>
        <w:ind w:hanging="540" w:start="720" w:end="-720"/>
        <w:jc w:val="both"/>
        <w:rPr/>
      </w:pPr>
      <w:r>
        <w:rPr>
          <w:rFonts w:cs="Arial" w:ascii="Arial" w:hAnsi="Arial"/>
          <w:b/>
          <w:bCs/>
        </w:rPr>
        <w:t>Koch Industries Inc., Wichita, KS</w:t>
        <w:tab/>
      </w:r>
      <w:r>
        <w:rPr>
          <w:rFonts w:cs="Arial" w:ascii="Arial" w:hAnsi="Arial"/>
        </w:rPr>
        <w:tab/>
        <w:tab/>
        <w:tab/>
        <w:tab/>
        <w:tab/>
        <w:tab/>
        <w:t>1996-1999</w:t>
      </w:r>
    </w:p>
    <w:p>
      <w:pPr>
        <w:pStyle w:val="Normal"/>
        <w:ind w:hanging="360" w:start="360" w:end="-720"/>
        <w:jc w:val="both"/>
        <w:rPr/>
      </w:pPr>
      <w:r>
        <w:rPr>
          <w:rFonts w:cs="Arial" w:ascii="Arial" w:hAnsi="Arial"/>
          <w:b/>
          <w:bCs/>
        </w:rPr>
        <w:tab/>
      </w:r>
      <w:r>
        <w:rPr>
          <w:rFonts w:cs="Arial" w:ascii="Arial" w:hAnsi="Arial"/>
        </w:rPr>
        <w:t>Director, Mergers &amp; Acquisitions</w:t>
        <w:tab/>
        <w:tab/>
        <w:tab/>
        <w:tab/>
        <w:tab/>
        <w:tab/>
        <w:tab/>
        <w:t>1998-1999</w:t>
      </w:r>
    </w:p>
    <w:p>
      <w:pPr>
        <w:pStyle w:val="Normal"/>
        <w:numPr>
          <w:ilvl w:val="0"/>
          <w:numId w:val="3"/>
        </w:numPr>
        <w:tabs>
          <w:tab w:val="clear" w:pos="720"/>
          <w:tab w:val="left" w:pos="900" w:leader="none"/>
        </w:tabs>
        <w:ind w:hanging="360" w:start="900" w:end="0"/>
        <w:jc w:val="both"/>
        <w:rPr>
          <w:rFonts w:ascii="Arial" w:hAnsi="Arial" w:cs="Arial"/>
        </w:rPr>
      </w:pPr>
      <w:r>
        <w:rPr>
          <w:rFonts w:cs="Arial" w:ascii="Arial" w:hAnsi="Arial"/>
        </w:rPr>
        <w:t xml:space="preserve">Member of transaction team that completed Koch’s $1.5 billion acquisition and associated financing of Trevira’s world wide polyester business in October 1998.  Heavily involved in due diligence, valuation process, and negotiating of partnership agreements. Deal lead for acquisition of Trevira’s investments and operations in Brazil and Turkey.  Negotiated global tire cord joint venture agreement with Turkish investment partner.  </w:t>
      </w:r>
    </w:p>
    <w:p>
      <w:pPr>
        <w:pStyle w:val="Normal"/>
        <w:numPr>
          <w:ilvl w:val="0"/>
          <w:numId w:val="3"/>
        </w:numPr>
        <w:tabs>
          <w:tab w:val="clear" w:pos="720"/>
          <w:tab w:val="left" w:pos="900" w:leader="none"/>
        </w:tabs>
        <w:ind w:hanging="360" w:start="900" w:end="0"/>
        <w:jc w:val="both"/>
        <w:rPr>
          <w:rFonts w:ascii="Arial" w:hAnsi="Arial" w:cs="Arial"/>
        </w:rPr>
      </w:pPr>
      <w:r>
        <w:rPr>
          <w:rFonts w:cs="Arial" w:ascii="Arial" w:hAnsi="Arial"/>
        </w:rPr>
        <w:t>Led $50 million acquisition of refining and trading company in the Netherlands completed in May 1998.  Responsible for leading transaction team based in the US and Europe through valuation, due diligence, negotiations, tax restructuring, and European anti-trust filing.</w:t>
      </w:r>
    </w:p>
    <w:p>
      <w:pPr>
        <w:pStyle w:val="Normal"/>
        <w:numPr>
          <w:ilvl w:val="0"/>
          <w:numId w:val="3"/>
        </w:numPr>
        <w:tabs>
          <w:tab w:val="clear" w:pos="720"/>
          <w:tab w:val="left" w:pos="900" w:leader="none"/>
        </w:tabs>
        <w:ind w:hanging="360" w:start="900" w:end="0"/>
        <w:jc w:val="both"/>
        <w:rPr>
          <w:rFonts w:ascii="Arial" w:hAnsi="Arial" w:cs="Arial"/>
        </w:rPr>
      </w:pPr>
      <w:r>
        <w:rPr>
          <w:rFonts w:cs="Arial" w:ascii="Arial" w:hAnsi="Arial"/>
        </w:rPr>
        <w:t>Managed day-to-day relationship with international petrochemical, refining, and natural gas liquids business groups.  Responsibilities included strategy development, financial opportunity review, competitive market analysis, and business valuations.  Business development initiatives included petrochemical facility in Argentina, gas liquids processing and fractionation facility in Venezuela, acquisition of underground storage facilities, and various additional domestic acquisitions and joint ventures.</w:t>
      </w:r>
    </w:p>
    <w:p>
      <w:pPr>
        <w:pStyle w:val="Normal"/>
        <w:ind w:start="540" w:end="-720"/>
        <w:jc w:val="both"/>
        <w:rPr>
          <w:rFonts w:ascii="Arial" w:hAnsi="Arial" w:cs="Arial"/>
        </w:rPr>
      </w:pPr>
      <w:r>
        <w:rPr>
          <w:rFonts w:cs="Arial" w:ascii="Arial" w:hAnsi="Arial"/>
        </w:rPr>
      </w:r>
    </w:p>
    <w:p>
      <w:pPr>
        <w:pStyle w:val="Normal"/>
        <w:ind w:start="360" w:end="-720"/>
        <w:jc w:val="both"/>
        <w:rPr>
          <w:rFonts w:ascii="Arial" w:hAnsi="Arial" w:cs="Arial"/>
        </w:rPr>
      </w:pPr>
      <w:r>
        <w:rPr>
          <w:rFonts w:cs="Arial" w:ascii="Arial" w:hAnsi="Arial"/>
        </w:rPr>
        <w:t>Associate, International Capital Services</w:t>
        <w:tab/>
        <w:tab/>
        <w:tab/>
        <w:tab/>
        <w:tab/>
        <w:tab/>
        <w:t>1996-1997</w:t>
      </w:r>
    </w:p>
    <w:p>
      <w:pPr>
        <w:pStyle w:val="Normal"/>
        <w:numPr>
          <w:ilvl w:val="0"/>
          <w:numId w:val="3"/>
        </w:numPr>
        <w:tabs>
          <w:tab w:val="clear" w:pos="720"/>
          <w:tab w:val="left" w:pos="900" w:leader="none"/>
        </w:tabs>
        <w:ind w:hanging="360" w:start="900" w:end="0"/>
        <w:jc w:val="both"/>
        <w:rPr>
          <w:rFonts w:ascii="Arial" w:hAnsi="Arial" w:cs="Arial"/>
        </w:rPr>
      </w:pPr>
      <w:r>
        <w:rPr>
          <w:rFonts w:cs="Arial" w:ascii="Arial" w:hAnsi="Arial"/>
        </w:rPr>
        <w:t xml:space="preserve">Responsible for valuation, due diligence, deal structuring, negotiation of shareholder agreements, financing documents, as well as commodity off-take contracts for $100 million propylene petrochemical joint venture in Venezuela. </w:t>
      </w:r>
    </w:p>
    <w:p>
      <w:pPr>
        <w:pStyle w:val="Normal"/>
        <w:jc w:val="both"/>
        <w:rPr>
          <w:rFonts w:ascii="Arial" w:hAnsi="Arial" w:cs="Arial"/>
          <w:b/>
          <w:bCs/>
        </w:rPr>
      </w:pPr>
      <w:r>
        <w:rPr>
          <w:rFonts w:cs="Arial" w:ascii="Arial" w:hAnsi="Arial"/>
          <w:b/>
          <w:bCs/>
        </w:rPr>
      </w:r>
    </w:p>
    <w:p>
      <w:pPr>
        <w:pStyle w:val="Normal"/>
        <w:jc w:val="both"/>
        <w:rPr>
          <w:rFonts w:ascii="Arial" w:hAnsi="Arial" w:cs="Arial"/>
          <w:b/>
          <w:bCs/>
        </w:rPr>
      </w:pPr>
      <w:r>
        <w:rPr>
          <w:rFonts w:cs="Arial" w:ascii="Arial" w:hAnsi="Arial"/>
          <w:b/>
          <w:bCs/>
        </w:rPr>
      </w:r>
    </w:p>
    <w:p>
      <w:pPr>
        <w:pStyle w:val="Normal"/>
        <w:tabs>
          <w:tab w:val="clear" w:pos="720"/>
          <w:tab w:val="left" w:pos="8100" w:leader="none"/>
        </w:tabs>
        <w:ind w:start="180" w:end="0"/>
        <w:jc w:val="both"/>
        <w:rPr/>
      </w:pPr>
      <w:r>
        <w:rPr>
          <w:rFonts w:cs="Arial" w:ascii="Arial" w:hAnsi="Arial"/>
          <w:b/>
          <w:bCs/>
        </w:rPr>
        <w:t>Bayer AG, Leverkusen, Germany</w:t>
        <w:tab/>
        <w:t xml:space="preserve"> </w:t>
      </w:r>
      <w:r>
        <w:rPr>
          <w:rFonts w:cs="Arial" w:ascii="Arial" w:hAnsi="Arial"/>
        </w:rPr>
        <w:t>Summer 1995</w:t>
      </w:r>
    </w:p>
    <w:p>
      <w:pPr>
        <w:pStyle w:val="Normal"/>
        <w:tabs>
          <w:tab w:val="clear" w:pos="720"/>
          <w:tab w:val="left" w:pos="360" w:leader="none"/>
          <w:tab w:val="left" w:pos="8100" w:leader="none"/>
        </w:tabs>
        <w:jc w:val="both"/>
        <w:rPr>
          <w:rFonts w:ascii="Arial" w:hAnsi="Arial" w:cs="Arial"/>
        </w:rPr>
      </w:pPr>
      <w:r>
        <w:rPr>
          <w:rFonts w:cs="Arial" w:ascii="Arial" w:hAnsi="Arial"/>
        </w:rPr>
        <w:tab/>
        <w:t>Financial Analyst, Controlling Group Corporate Headquarters</w:t>
      </w:r>
    </w:p>
    <w:p>
      <w:pPr>
        <w:pStyle w:val="Normal"/>
        <w:numPr>
          <w:ilvl w:val="0"/>
          <w:numId w:val="3"/>
        </w:numPr>
        <w:tabs>
          <w:tab w:val="clear" w:pos="720"/>
          <w:tab w:val="left" w:pos="900" w:leader="none"/>
        </w:tabs>
        <w:ind w:hanging="360" w:start="900" w:end="0"/>
        <w:jc w:val="both"/>
        <w:rPr>
          <w:rFonts w:ascii="Arial" w:hAnsi="Arial" w:cs="Arial"/>
        </w:rPr>
      </w:pPr>
      <w:r>
        <w:rPr>
          <w:rFonts w:cs="Arial" w:ascii="Arial" w:hAnsi="Arial"/>
        </w:rPr>
        <w:t>Analyzed performance of logistics functions for Bayer’s pharmaceutical business unit using benchmarking versus other internal units as well as market competitors.</w:t>
      </w:r>
    </w:p>
    <w:p>
      <w:pPr>
        <w:pStyle w:val="Normal"/>
        <w:numPr>
          <w:ilvl w:val="0"/>
          <w:numId w:val="3"/>
        </w:numPr>
        <w:tabs>
          <w:tab w:val="clear" w:pos="720"/>
          <w:tab w:val="left" w:pos="900" w:leader="none"/>
        </w:tabs>
        <w:ind w:hanging="360" w:start="900" w:end="0"/>
        <w:jc w:val="both"/>
        <w:rPr>
          <w:rFonts w:ascii="Arial" w:hAnsi="Arial" w:cs="Arial"/>
        </w:rPr>
      </w:pPr>
      <w:r>
        <w:rPr>
          <w:rFonts w:cs="Arial" w:ascii="Arial" w:hAnsi="Arial"/>
        </w:rPr>
        <w:t>Conducted business review and implemented program that improved the reporting and evaluation of different logistics tasks/groups.</w:t>
      </w:r>
    </w:p>
    <w:p>
      <w:pPr>
        <w:pStyle w:val="Normal"/>
        <w:numPr>
          <w:ilvl w:val="0"/>
          <w:numId w:val="3"/>
        </w:numPr>
        <w:tabs>
          <w:tab w:val="clear" w:pos="720"/>
          <w:tab w:val="left" w:pos="900" w:leader="none"/>
        </w:tabs>
        <w:ind w:hanging="360" w:start="900" w:end="0"/>
        <w:jc w:val="both"/>
        <w:rPr>
          <w:rFonts w:ascii="Arial" w:hAnsi="Arial" w:cs="Arial"/>
        </w:rPr>
      </w:pPr>
      <w:r>
        <w:rPr>
          <w:rFonts w:cs="Arial" w:ascii="Arial" w:hAnsi="Arial"/>
        </w:rPr>
        <w:t>Presented business review results to business unit senior management recommending the outsourcing of non-core activities and rationalization of in-house operations.  The restructuring plan was subsequently implemented in the next fiscal year.</w:t>
      </w:r>
    </w:p>
    <w:p>
      <w:pPr>
        <w:pStyle w:val="Normal"/>
        <w:jc w:val="both"/>
        <w:rPr>
          <w:rFonts w:ascii="Arial" w:hAnsi="Arial" w:cs="Arial"/>
          <w:b/>
          <w:bCs/>
        </w:rPr>
      </w:pPr>
      <w:r>
        <w:rPr>
          <w:rFonts w:cs="Arial" w:ascii="Arial" w:hAnsi="Arial"/>
          <w:b/>
          <w:bCs/>
        </w:rPr>
      </w:r>
    </w:p>
    <w:p>
      <w:pPr>
        <w:pStyle w:val="Normal"/>
        <w:ind w:firstLine="180" w:end="0"/>
        <w:jc w:val="both"/>
        <w:rPr>
          <w:rFonts w:ascii="Arial" w:hAnsi="Arial" w:cs="Arial"/>
          <w:b/>
          <w:bCs/>
        </w:rPr>
      </w:pPr>
      <w:r>
        <w:rPr>
          <w:rFonts w:cs="Arial" w:ascii="Arial" w:hAnsi="Arial"/>
          <w:b/>
          <w:bCs/>
        </w:rPr>
        <w:t>Bayer Corp., Kansas City, MO</w:t>
        <w:tab/>
        <w:tab/>
        <w:tab/>
        <w:tab/>
        <w:tab/>
        <w:tab/>
        <w:tab/>
        <w:t xml:space="preserve">    </w:t>
      </w:r>
      <w:r>
        <w:rPr>
          <w:rFonts w:cs="Arial" w:ascii="Arial" w:hAnsi="Arial"/>
        </w:rPr>
        <w:t>Summer 1994</w:t>
      </w:r>
    </w:p>
    <w:p>
      <w:pPr>
        <w:pStyle w:val="Normal"/>
        <w:tabs>
          <w:tab w:val="clear" w:pos="720"/>
          <w:tab w:val="left" w:pos="360" w:leader="none"/>
        </w:tabs>
        <w:jc w:val="both"/>
        <w:rPr>
          <w:rFonts w:ascii="Arial" w:hAnsi="Arial" w:cs="Arial"/>
        </w:rPr>
      </w:pPr>
      <w:r>
        <w:rPr>
          <w:rFonts w:cs="Arial" w:ascii="Arial" w:hAnsi="Arial"/>
        </w:rPr>
        <w:tab/>
        <w:t>Financial Analyst, Finance Department, Global Agriculture Division</w:t>
      </w:r>
    </w:p>
    <w:p>
      <w:pPr>
        <w:pStyle w:val="Normal"/>
        <w:numPr>
          <w:ilvl w:val="0"/>
          <w:numId w:val="2"/>
        </w:numPr>
        <w:jc w:val="both"/>
        <w:rPr>
          <w:rFonts w:ascii="Arial" w:hAnsi="Arial" w:cs="Arial"/>
          <w:b/>
          <w:bCs/>
        </w:rPr>
      </w:pPr>
      <w:r>
        <w:rPr>
          <w:rFonts w:cs="Arial" w:ascii="Arial" w:hAnsi="Arial"/>
        </w:rPr>
        <w:t>Performed financial analysis of accounts payable, accounts receivable, and inventory performance as part of cost accounting review and budgeting process.</w:t>
      </w:r>
    </w:p>
    <w:p>
      <w:pPr>
        <w:pStyle w:val="Normal"/>
        <w:numPr>
          <w:ilvl w:val="0"/>
          <w:numId w:val="2"/>
        </w:numPr>
        <w:jc w:val="both"/>
        <w:rPr>
          <w:rFonts w:ascii="Arial" w:hAnsi="Arial" w:cs="Arial"/>
          <w:b/>
          <w:bCs/>
        </w:rPr>
      </w:pPr>
      <w:r>
        <w:rPr>
          <w:rFonts w:cs="Arial" w:ascii="Arial" w:hAnsi="Arial"/>
        </w:rPr>
        <w:t>Analyzed efficiency and profitability of various crop protection and animal health products on a ROI, DCF, and operating margin basis.</w:t>
      </w:r>
    </w:p>
    <w:p>
      <w:pPr>
        <w:pStyle w:val="Normal"/>
        <w:numPr>
          <w:ilvl w:val="0"/>
          <w:numId w:val="2"/>
        </w:numPr>
        <w:jc w:val="both"/>
        <w:rPr>
          <w:rFonts w:ascii="Arial" w:hAnsi="Arial" w:cs="Arial"/>
          <w:b/>
          <w:bCs/>
        </w:rPr>
      </w:pPr>
      <w:r>
        <w:rPr>
          <w:rFonts w:cs="Arial" w:ascii="Arial" w:hAnsi="Arial"/>
        </w:rPr>
        <w:t xml:space="preserve">Assisted finance department in bilingual management presentations, correspondence, and negotiations with the parent company and investors in Germany. </w:t>
      </w:r>
    </w:p>
    <w:p>
      <w:pPr>
        <w:pStyle w:val="Normal"/>
        <w:jc w:val="both"/>
        <w:rPr>
          <w:rFonts w:ascii="Arial" w:hAnsi="Arial" w:cs="Arial"/>
          <w:b/>
          <w:bCs/>
        </w:rPr>
      </w:pPr>
      <w:r>
        <w:rPr>
          <w:rFonts w:cs="Arial" w:ascii="Arial" w:hAnsi="Arial"/>
          <w:b/>
          <w:bCs/>
        </w:rPr>
      </w:r>
    </w:p>
    <w:p>
      <w:pPr>
        <w:pStyle w:val="Heading2"/>
        <w:ind w:hanging="0" w:start="0"/>
        <w:rPr/>
      </w:pPr>
      <w:r>
        <w:rPr/>
        <w:t>Education and Other</w:t>
      </w:r>
    </w:p>
    <w:p>
      <w:pPr>
        <w:pStyle w:val="Heading3"/>
        <w:ind w:firstLine="180" w:start="0" w:end="0"/>
        <w:rPr>
          <w:sz w:val="24"/>
        </w:rPr>
      </w:pPr>
      <w:r>
        <w:rPr>
          <w:sz w:val="24"/>
        </w:rPr>
        <w:t>University of Kansas, Lawrence, KS</w:t>
      </w:r>
    </w:p>
    <w:p>
      <w:pPr>
        <w:pStyle w:val="Normal"/>
        <w:numPr>
          <w:ilvl w:val="0"/>
          <w:numId w:val="3"/>
        </w:numPr>
        <w:tabs>
          <w:tab w:val="left" w:pos="720" w:leader="none"/>
        </w:tabs>
        <w:ind w:hanging="1080" w:start="1440" w:end="0"/>
        <w:jc w:val="both"/>
        <w:rPr>
          <w:rFonts w:ascii="Arial" w:hAnsi="Arial" w:cs="Arial"/>
        </w:rPr>
      </w:pPr>
      <w:r>
        <w:rPr>
          <w:rFonts w:cs="Arial" w:ascii="Arial" w:hAnsi="Arial"/>
        </w:rPr>
        <w:t>M.B.A., Finance, May 1996</w:t>
      </w:r>
    </w:p>
    <w:p>
      <w:pPr>
        <w:pStyle w:val="Normal"/>
        <w:numPr>
          <w:ilvl w:val="0"/>
          <w:numId w:val="3"/>
        </w:numPr>
        <w:tabs>
          <w:tab w:val="left" w:pos="720" w:leader="none"/>
        </w:tabs>
        <w:ind w:hanging="1080" w:start="1440" w:end="0"/>
        <w:jc w:val="both"/>
        <w:rPr>
          <w:rFonts w:ascii="Arial" w:hAnsi="Arial" w:cs="Arial"/>
        </w:rPr>
      </w:pPr>
      <w:r>
        <w:rPr>
          <w:rFonts w:cs="Arial" w:ascii="Arial" w:hAnsi="Arial"/>
        </w:rPr>
        <w:t>B.A. Economics, May 1994, Graduated Phi Beta Kappa</w:t>
      </w:r>
    </w:p>
    <w:p>
      <w:pPr>
        <w:pStyle w:val="Normal"/>
        <w:numPr>
          <w:ilvl w:val="0"/>
          <w:numId w:val="3"/>
        </w:numPr>
        <w:tabs>
          <w:tab w:val="left" w:pos="720" w:leader="none"/>
        </w:tabs>
        <w:ind w:hanging="1080" w:start="1440" w:end="0"/>
        <w:jc w:val="both"/>
        <w:rPr>
          <w:rFonts w:ascii="Arial" w:hAnsi="Arial" w:cs="Arial"/>
        </w:rPr>
      </w:pPr>
      <w:r>
        <w:rPr>
          <w:rFonts w:cs="Arial" w:ascii="Arial" w:hAnsi="Arial"/>
        </w:rPr>
        <w:t>NCAA Academic All America 1</w:t>
      </w:r>
      <w:r>
        <w:rPr>
          <w:rFonts w:cs="Arial" w:ascii="Arial" w:hAnsi="Arial"/>
          <w:vertAlign w:val="superscript"/>
        </w:rPr>
        <w:t>st</w:t>
      </w:r>
      <w:r>
        <w:rPr>
          <w:rFonts w:cs="Arial" w:ascii="Arial" w:hAnsi="Arial"/>
        </w:rPr>
        <w:t xml:space="preserve"> Team</w:t>
      </w:r>
    </w:p>
    <w:p>
      <w:pPr>
        <w:pStyle w:val="Normal"/>
        <w:numPr>
          <w:ilvl w:val="0"/>
          <w:numId w:val="3"/>
        </w:numPr>
        <w:tabs>
          <w:tab w:val="left" w:pos="720" w:leader="none"/>
        </w:tabs>
        <w:ind w:hanging="1080" w:start="1440" w:end="0"/>
        <w:jc w:val="both"/>
        <w:rPr>
          <w:rFonts w:ascii="Arial" w:hAnsi="Arial" w:cs="Arial"/>
        </w:rPr>
      </w:pPr>
      <w:r>
        <w:rPr>
          <w:rFonts w:cs="Arial" w:ascii="Arial" w:hAnsi="Arial"/>
        </w:rPr>
        <w:t>Varsity Swim Team 1991-1995 -Team Captain (1994/1995)</w:t>
      </w:r>
    </w:p>
    <w:p>
      <w:pPr>
        <w:pStyle w:val="Normal"/>
        <w:ind w:start="180" w:end="0"/>
        <w:jc w:val="both"/>
        <w:rPr>
          <w:rFonts w:ascii="Arial" w:hAnsi="Arial" w:cs="Arial"/>
        </w:rPr>
      </w:pPr>
      <w:r>
        <w:rPr>
          <w:rFonts w:cs="Arial" w:ascii="Arial" w:hAnsi="Arial"/>
        </w:rPr>
      </w:r>
    </w:p>
    <w:p>
      <w:pPr>
        <w:pStyle w:val="Normal"/>
        <w:ind w:start="180" w:end="0"/>
        <w:jc w:val="both"/>
        <w:rPr>
          <w:rFonts w:ascii="Arial" w:hAnsi="Arial" w:cs="Arial"/>
        </w:rPr>
      </w:pPr>
      <w:r>
        <w:rPr>
          <w:rFonts w:cs="Arial" w:ascii="Arial" w:hAnsi="Arial"/>
        </w:rPr>
        <w:t>Languages: German (native), French (basic)</w:t>
      </w:r>
    </w:p>
    <w:p>
      <w:pPr>
        <w:pStyle w:val="Normal"/>
        <w:ind w:start="180" w:end="0"/>
        <w:jc w:val="both"/>
        <w:rPr>
          <w:rFonts w:ascii="Arial" w:hAnsi="Arial" w:cs="Arial"/>
        </w:rPr>
      </w:pPr>
      <w:r>
        <w:rPr>
          <w:rFonts w:cs="Arial" w:ascii="Arial" w:hAnsi="Arial"/>
        </w:rPr>
        <w:t>Other Interests: Enjoy travel, golf, scuba diving, and skiing.</w:t>
      </w:r>
    </w:p>
    <w:sectPr>
      <w:type w:val="nextPage"/>
      <w:pgSz w:w="12240" w:h="15840"/>
      <w:pgMar w:left="900" w:right="1620" w:gutter="0" w:header="0" w:top="864"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1440" w:hanging="360"/>
      </w:pPr>
      <w:rPr>
        <w:rFonts w:ascii="Symbol" w:hAnsi="Symbol" w:cs="Symbol" w:hint="default"/>
      </w:rPr>
    </w:lvl>
  </w:abstractNum>
  <w:abstractNum w:abstractNumId="4">
    <w:lvl w:ilvl="0">
      <w:start w:val="1"/>
      <w:numFmt w:val="bullet"/>
      <w:lvlText w:val=""/>
      <w:lvlJc w:val="start"/>
      <w:pPr>
        <w:tabs>
          <w:tab w:val="num" w:pos="900"/>
        </w:tabs>
        <w:ind w:start="900" w:hanging="360"/>
      </w:pPr>
      <w:rPr>
        <w:rFonts w:ascii="Symbol" w:hAnsi="Symbol" w:cs="Symbol" w:hint="default"/>
      </w:rPr>
    </w:lvl>
  </w:abstractNum>
  <w:abstractNum w:abstractNumId="5">
    <w:lvl w:ilvl="0">
      <w:start w:val="1"/>
      <w:numFmt w:val="bullet"/>
      <w:lvlText w:val=""/>
      <w:lvlJc w:val="start"/>
      <w:pPr>
        <w:tabs>
          <w:tab w:val="num" w:pos="1800"/>
        </w:tabs>
        <w:ind w:start="180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0" w:end="-720"/>
      <w:outlineLvl w:val="0"/>
    </w:pPr>
    <w:rPr>
      <w:b/>
      <w:bCs/>
    </w:rPr>
  </w:style>
  <w:style w:type="paragraph" w:styleId="Heading2">
    <w:name w:val="heading 2"/>
    <w:basedOn w:val="Normal"/>
    <w:next w:val="Normal"/>
    <w:qFormat/>
    <w:pPr>
      <w:keepNext w:val="true"/>
      <w:numPr>
        <w:ilvl w:val="1"/>
        <w:numId w:val="1"/>
      </w:numPr>
      <w:jc w:val="both"/>
      <w:outlineLvl w:val="1"/>
    </w:pPr>
    <w:rPr>
      <w:rFonts w:ascii="Arial" w:hAnsi="Arial" w:cs="Arial"/>
      <w:b/>
      <w:bCs/>
    </w:rPr>
  </w:style>
  <w:style w:type="paragraph" w:styleId="Heading3">
    <w:name w:val="heading 3"/>
    <w:basedOn w:val="Normal"/>
    <w:next w:val="Normal"/>
    <w:qFormat/>
    <w:pPr>
      <w:keepNext w:val="true"/>
      <w:numPr>
        <w:ilvl w:val="2"/>
        <w:numId w:val="1"/>
      </w:numPr>
      <w:ind w:hanging="360" w:start="540" w:end="0"/>
      <w:jc w:val="both"/>
      <w:outlineLvl w:val="2"/>
    </w:pPr>
    <w:rPr>
      <w:rFonts w:ascii="Arial" w:hAnsi="Arial" w:cs="Arial"/>
      <w:b/>
      <w:bCs/>
      <w:sz w:val="22"/>
    </w:rPr>
  </w:style>
  <w:style w:type="paragraph" w:styleId="Heading4">
    <w:name w:val="heading 4"/>
    <w:basedOn w:val="Normal"/>
    <w:next w:val="Normal"/>
    <w:qFormat/>
    <w:pPr>
      <w:keepNext w:val="true"/>
      <w:numPr>
        <w:ilvl w:val="3"/>
        <w:numId w:val="1"/>
      </w:numPr>
      <w:outlineLvl w:val="3"/>
    </w:pPr>
    <w:rPr>
      <w:rFonts w:ascii="Arial" w:hAnsi="Arial" w:cs="Arial"/>
      <w:b/>
      <w:bCs/>
      <w:sz w:val="22"/>
    </w:rPr>
  </w:style>
  <w:style w:type="paragraph" w:styleId="Heading5">
    <w:name w:val="heading 5"/>
    <w:basedOn w:val="Normal"/>
    <w:next w:val="Normal"/>
    <w:qFormat/>
    <w:pPr>
      <w:keepNext w:val="true"/>
      <w:numPr>
        <w:ilvl w:val="4"/>
        <w:numId w:val="1"/>
      </w:numPr>
      <w:ind w:hanging="0" w:start="0" w:end="-180"/>
      <w:jc w:val="center"/>
      <w:outlineLvl w:val="4"/>
    </w:pPr>
    <w:rPr>
      <w:rFonts w:ascii="Arial" w:hAnsi="Arial" w:cs="Arial"/>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360" w:leader="none"/>
        <w:tab w:val="left" w:pos="8280" w:leader="none"/>
      </w:tabs>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2001-11-13T01:34:00Z</dcterms:created>
  <dc:creator>Marc and Krista Hensel</dc:creator>
  <dc:description/>
  <dc:language>en-CA</dc:language>
  <cp:lastModifiedBy>Marc and Krista Hensel</cp:lastModifiedBy>
  <cp:lastPrinted>2001-11-12T10:42:00Z</cp:lastPrinted>
  <dcterms:modified xsi:type="dcterms:W3CDTF">2001-11-13T02:02:00Z</dcterms:modified>
  <cp:revision>3</cp:revision>
  <dc:subject/>
  <dc:title>Marc Hensel</dc:title>
</cp:coreProperties>
</file>