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 Term Sheet</w:t>
      </w:r>
    </w:p>
    <w:p>
      <w:pPr>
        <w:pStyle w:val="Heading"/>
        <w:rPr/>
      </w:pPr>
      <w:r>
        <w:rPr/>
        <w:t xml:space="preserve"> </w:t>
      </w:r>
      <w:r>
        <w:rPr/>
        <w:t>For Asset Management Outsourcing Arrangement</w:t>
      </w:r>
    </w:p>
    <w:p>
      <w:pPr>
        <w:pStyle w:val="Heading"/>
        <w:rPr/>
      </w:pPr>
      <w:r>
        <w:rPr/>
        <w:t>By and Between Marathon Oil Company (“Seller”)</w:t>
      </w:r>
    </w:p>
    <w:p>
      <w:pPr>
        <w:pStyle w:val="Heading"/>
        <w:rPr/>
      </w:pPr>
      <w:r>
        <w:rPr/>
        <w:t>And Enron Corp. (“Buyer”)</w:t>
      </w:r>
    </w:p>
    <w:p>
      <w:pPr>
        <w:pStyle w:val="Heading"/>
        <w:rPr>
          <w:sz w:val="28"/>
        </w:rPr>
      </w:pPr>
      <w:r>
        <w:rPr>
          <w:sz w:val="28"/>
        </w:rPr>
      </w:r>
    </w:p>
    <w:p>
      <w:pPr>
        <w:pStyle w:val="Heading"/>
        <w:rPr>
          <w:sz w:val="28"/>
        </w:rPr>
      </w:pPr>
      <w:r>
        <w:rPr>
          <w:sz w:val="28"/>
        </w:rPr>
      </w:r>
    </w:p>
    <w:p>
      <w:pPr>
        <w:pStyle w:val="Normal"/>
        <w:jc w:val="both"/>
        <w:rPr/>
      </w:pPr>
      <w:r>
        <w:rPr>
          <w:u w:val="single"/>
        </w:rPr>
        <w:t>Transaction Term</w:t>
      </w:r>
      <w:r>
        <w:rPr/>
        <w:t>:</w:t>
        <w:tab/>
        <w:t>To be determined</w:t>
      </w:r>
    </w:p>
    <w:p>
      <w:pPr>
        <w:pStyle w:val="Normal"/>
        <w:jc w:val="both"/>
        <w:rPr/>
      </w:pPr>
      <w:r>
        <w:rPr/>
      </w:r>
    </w:p>
    <w:p>
      <w:pPr>
        <w:pStyle w:val="Normal"/>
        <w:ind w:hanging="2160" w:start="2160" w:end="0"/>
        <w:jc w:val="both"/>
        <w:rPr>
          <w:u w:val="single"/>
        </w:rPr>
      </w:pPr>
      <w:r>
        <w:rPr>
          <w:u w:val="single"/>
        </w:rPr>
        <w:t>Counterparty</w:t>
      </w:r>
      <w:r>
        <w:rPr/>
        <w:t>:</w:t>
        <w:tab/>
        <w:t>Enron North America Corp. (“ENA”), a wholly owned subsidiary of Enron Corp (“Enron”).</w:t>
        <w:tab/>
      </w:r>
    </w:p>
    <w:p>
      <w:pPr>
        <w:pStyle w:val="Normal"/>
        <w:jc w:val="both"/>
        <w:rPr>
          <w:u w:val="single"/>
        </w:rPr>
      </w:pPr>
      <w:r>
        <w:rPr>
          <w:u w:val="single"/>
        </w:rPr>
      </w:r>
    </w:p>
    <w:p>
      <w:pPr>
        <w:pStyle w:val="BodyTextIndent"/>
        <w:ind w:hanging="2160" w:start="2160" w:end="0"/>
        <w:jc w:val="both"/>
        <w:rPr>
          <w:sz w:val="24"/>
          <w:u w:val="single"/>
        </w:rPr>
      </w:pPr>
      <w:r>
        <w:rPr>
          <w:sz w:val="24"/>
          <w:u w:val="single"/>
        </w:rPr>
        <w:t xml:space="preserve">Proposal </w:t>
      </w:r>
    </w:p>
    <w:p>
      <w:pPr>
        <w:pStyle w:val="BodyTextIndent"/>
        <w:ind w:hanging="2160" w:start="2160" w:end="0"/>
        <w:jc w:val="both"/>
        <w:rPr/>
      </w:pPr>
      <w:r>
        <w:rPr>
          <w:sz w:val="24"/>
          <w:u w:val="single"/>
        </w:rPr>
        <w:t>Service Summary</w:t>
      </w:r>
      <w:r>
        <w:rPr>
          <w:sz w:val="24"/>
        </w:rPr>
        <w:t>:</w:t>
        <w:tab/>
      </w:r>
    </w:p>
    <w:p>
      <w:pPr>
        <w:pStyle w:val="BodyTextIndent"/>
        <w:ind w:hanging="2160" w:start="2160" w:end="0"/>
        <w:jc w:val="both"/>
        <w:rPr>
          <w:b/>
          <w:bCs w:val="false"/>
          <w:i/>
          <w:i/>
          <w:iCs w:val="false"/>
          <w:sz w:val="24"/>
        </w:rPr>
      </w:pPr>
      <w:r>
        <w:rPr>
          <w:b/>
          <w:bCs w:val="false"/>
          <w:i/>
          <w:iCs w:val="false"/>
          <w:sz w:val="24"/>
        </w:rPr>
      </w:r>
    </w:p>
    <w:p>
      <w:pPr>
        <w:pStyle w:val="BodyTextIndent"/>
        <w:ind w:hanging="2160" w:start="2160" w:end="0"/>
        <w:jc w:val="both"/>
        <w:rPr>
          <w:b/>
          <w:bCs w:val="false"/>
          <w:i/>
          <w:i/>
          <w:iCs w:val="false"/>
          <w:sz w:val="24"/>
        </w:rPr>
      </w:pPr>
      <w:r>
        <w:rPr>
          <w:b/>
          <w:bCs w:val="false"/>
          <w:i/>
          <w:iCs w:val="false"/>
          <w:sz w:val="24"/>
        </w:rPr>
        <w:t>Proposal One</w:t>
        <w:tab/>
        <w:t>Negotiated Fixed or Index Price</w:t>
      </w:r>
    </w:p>
    <w:p>
      <w:pPr>
        <w:pStyle w:val="BodyTextIndent2"/>
        <w:ind w:firstLine="15" w:start="2145" w:end="0"/>
        <w:rPr>
          <w:sz w:val="24"/>
        </w:rPr>
      </w:pPr>
      <w:r>
        <w:rPr>
          <w:sz w:val="24"/>
        </w:rPr>
        <w:t>Seller releases to Buyer all quantities of production and related assets owned by Seller for the transaction term. Buyer provides a negotiated price structure for services in the full and effective risk management optimization and potential monetization of Seller’s ascribed assets.  Upon negotiations between Seller and Buyer, a mutual commodity structure (index, fixed, etc.) will be determined utilizing agreed upon relevant commodity prices.  Confirmation of arrangement will be subject to a Master Purchase/Sale Agreement and other appropriate definitive agreements to be reached by the parties.</w:t>
      </w:r>
    </w:p>
    <w:p>
      <w:pPr>
        <w:pStyle w:val="BodyTextIndent2"/>
        <w:tabs>
          <w:tab w:val="clear" w:pos="720"/>
          <w:tab w:val="left" w:pos="360" w:leader="none"/>
        </w:tabs>
        <w:rPr>
          <w:sz w:val="24"/>
        </w:rPr>
      </w:pPr>
      <w:r>
        <w:rPr>
          <w:sz w:val="24"/>
        </w:rPr>
        <w:tab/>
        <w:tab/>
      </w:r>
    </w:p>
    <w:p>
      <w:pPr>
        <w:pStyle w:val="BodyTextIndent2"/>
        <w:ind w:firstLine="15" w:start="2145" w:end="0"/>
        <w:rPr>
          <w:sz w:val="24"/>
        </w:rPr>
      </w:pPr>
      <w:r>
        <w:rPr>
          <w:sz w:val="24"/>
        </w:rPr>
      </w:r>
    </w:p>
    <w:p>
      <w:pPr>
        <w:pStyle w:val="BodyTextIndent"/>
        <w:ind w:hanging="2160" w:start="2160" w:end="0"/>
        <w:jc w:val="both"/>
        <w:rPr>
          <w:b/>
          <w:bCs w:val="false"/>
          <w:i/>
          <w:i/>
          <w:iCs w:val="false"/>
          <w:sz w:val="24"/>
        </w:rPr>
      </w:pPr>
      <w:r>
        <w:rPr>
          <w:b/>
          <w:bCs w:val="false"/>
          <w:i/>
          <w:iCs w:val="false"/>
          <w:sz w:val="24"/>
        </w:rPr>
        <w:t>Proposal Two</w:t>
        <w:tab/>
        <w:t xml:space="preserve">Negotiated Fixed or Index Price with Profit Sharing Arrangement  </w:t>
      </w:r>
    </w:p>
    <w:p>
      <w:pPr>
        <w:pStyle w:val="BodyTextIndent2"/>
        <w:tabs>
          <w:tab w:val="clear" w:pos="720"/>
          <w:tab w:val="left" w:pos="360" w:leader="none"/>
        </w:tabs>
        <w:ind w:start="2145" w:end="0"/>
        <w:rPr>
          <w:sz w:val="24"/>
        </w:rPr>
      </w:pPr>
      <w:r>
        <w:rPr>
          <w:sz w:val="24"/>
        </w:rPr>
        <w:tab/>
        <w:tab/>
        <w:t>Seller releases to Buyer all quantities of production and related assets owned by Seller for the transaction term. Buyer provides a negotiated price structure for services in the full and effective risk management optimization and potential monetization of Seller’s ascribed assets.  Upon negotiations between Seller and Buyer, a mutual commodity structure (index, fixed, etc.) will be determined utilizing agreed upon relevant commodity prices.  Confirmation of arrangement will be subject to a Master Purchase/Sale Agreement and other appropriate definitive agreements to be reached by the parties.</w:t>
      </w:r>
    </w:p>
    <w:p>
      <w:pPr>
        <w:pStyle w:val="BodyTextIndent2"/>
        <w:tabs>
          <w:tab w:val="clear" w:pos="720"/>
          <w:tab w:val="left" w:pos="360" w:leader="none"/>
        </w:tabs>
        <w:ind w:start="1440" w:end="0"/>
        <w:rPr>
          <w:sz w:val="24"/>
        </w:rPr>
      </w:pPr>
      <w:r>
        <w:rPr>
          <w:sz w:val="24"/>
        </w:rPr>
      </w:r>
    </w:p>
    <w:p>
      <w:pPr>
        <w:pStyle w:val="BodyTextIndent2"/>
        <w:ind w:firstLine="15" w:start="2145" w:end="0"/>
        <w:rPr>
          <w:sz w:val="24"/>
        </w:rPr>
      </w:pPr>
      <w:r>
        <w:rPr>
          <w:sz w:val="24"/>
        </w:rPr>
        <w:t xml:space="preserve">Through a to be established Limited Liability Corporation (LLC), the extension of the mutually agreed upon commercial relationship is defined and represents both the Seller’s and Buyer’s interests.  The LLC captures both potential upside and downside profits achieved through the risk management optimization of the ascribed Seller’s asset and production portfolio. The potential profit sharing agreement from optimizing the asset portfolio is negotiated and delineated within the equity ownership of the LLC structure.  The ascribed assets and production would include but not be limited to incremental or future assets as well as supplemental production which would be further contributed by the Seller throughout the transaction term and be optimized by the Buyer through the LLC. </w:t>
      </w:r>
    </w:p>
    <w:p>
      <w:pPr>
        <w:pStyle w:val="BodyTextIndent"/>
        <w:ind w:hanging="0" w:start="2160" w:end="0"/>
        <w:jc w:val="both"/>
        <w:rPr>
          <w:sz w:val="24"/>
        </w:rPr>
      </w:pPr>
      <w:r>
        <w:rPr>
          <w:sz w:val="24"/>
        </w:rPr>
      </w:r>
    </w:p>
    <w:p>
      <w:pPr>
        <w:pStyle w:val="BodyTextIndent2"/>
        <w:tabs>
          <w:tab w:val="clear" w:pos="720"/>
          <w:tab w:val="left" w:pos="360" w:leader="none"/>
        </w:tabs>
        <w:rPr>
          <w:sz w:val="24"/>
        </w:rPr>
      </w:pPr>
      <w:r>
        <w:rPr>
          <w:sz w:val="24"/>
        </w:rPr>
        <w:tab/>
        <w:tab/>
      </w:r>
    </w:p>
    <w:p>
      <w:pPr>
        <w:pStyle w:val="BodyTextIndent2"/>
        <w:ind w:firstLine="15" w:start="2145" w:end="0"/>
        <w:rPr>
          <w:sz w:val="24"/>
        </w:rPr>
      </w:pPr>
      <w:r>
        <w:rPr>
          <w:sz w:val="24"/>
        </w:rPr>
      </w:r>
    </w:p>
    <w:p>
      <w:pPr>
        <w:pStyle w:val="BodyTextIndent"/>
        <w:ind w:hanging="2160" w:start="2160" w:end="0"/>
        <w:jc w:val="both"/>
        <w:rPr>
          <w:b/>
          <w:bCs w:val="false"/>
          <w:i/>
          <w:i/>
          <w:iCs w:val="false"/>
          <w:sz w:val="24"/>
        </w:rPr>
      </w:pPr>
      <w:r>
        <w:rPr>
          <w:b/>
          <w:bCs w:val="false"/>
          <w:i/>
          <w:iCs w:val="false"/>
          <w:sz w:val="24"/>
        </w:rPr>
        <w:t>Proposal Three</w:t>
        <w:tab/>
        <w:t xml:space="preserve">Joint Venture between Seller and Buyer  </w:t>
      </w:r>
    </w:p>
    <w:p>
      <w:pPr>
        <w:pStyle w:val="BodyTextIndent2"/>
        <w:ind w:firstLine="15" w:start="2145" w:end="0"/>
        <w:rPr>
          <w:sz w:val="24"/>
        </w:rPr>
      </w:pPr>
      <w:r>
        <w:rPr>
          <w:sz w:val="24"/>
        </w:rPr>
        <w:t xml:space="preserve">Based on the Seller’s and Buyer’s desire to combine Seller’s respective assets and Buyer’s respective risk management expertise and systems, Seller contributes all quantities of productions and related assets owned by Seller for the transaction term and Buyer contributes and provides services in the full and effective asset management optimization of the ascribed contributed portfolio by Seller for the transaction term. As defined through the Joint Venture, this delineated partnership would capture both potential upside and downside profit achieved through the risk management optimization of the ascribed Seller’s asset and production portfolio as well as ascribed accrual earnings from the Seller’s contributions. The ascribed assets and production would include but not be limited to incremental or future assets as well as supplemental production which would be further contributed by the Seller throughout the transaction term and be optimized by the Joint Venture. </w:t>
      </w:r>
    </w:p>
    <w:p>
      <w:pPr>
        <w:pStyle w:val="BodyTextIndent"/>
        <w:ind w:hanging="0" w:start="2160" w:end="0"/>
        <w:jc w:val="both"/>
        <w:rPr>
          <w:sz w:val="24"/>
        </w:rPr>
      </w:pPr>
      <w:r>
        <w:rPr>
          <w:sz w:val="24"/>
        </w:rPr>
      </w:r>
    </w:p>
    <w:p>
      <w:pPr>
        <w:pStyle w:val="Heading2"/>
        <w:ind w:hanging="2145" w:start="2145" w:end="0"/>
        <w:rPr>
          <w:i w:val="false"/>
          <w:i w:val="false"/>
          <w:sz w:val="24"/>
          <w:u w:val="single"/>
        </w:rPr>
      </w:pPr>
      <w:r>
        <w:rPr>
          <w:i w:val="false"/>
          <w:sz w:val="24"/>
          <w:u w:val="single"/>
        </w:rPr>
      </w:r>
    </w:p>
    <w:p>
      <w:pPr>
        <w:pStyle w:val="BodyTextIndent3"/>
        <w:ind w:hanging="2145" w:start="2145" w:end="0"/>
        <w:rPr/>
      </w:pPr>
      <w:r>
        <w:rPr>
          <w:sz w:val="24"/>
          <w:u w:val="single"/>
        </w:rPr>
        <w:t>Resources</w:t>
      </w:r>
      <w:r>
        <w:rPr>
          <w:sz w:val="24"/>
        </w:rPr>
        <w:t>:</w:t>
        <w:tab/>
        <w:tab/>
        <w:t>Buyer and Seller will commit a team to the implementation and ongoing management of the ultimate transaction.  The team could consist of the following individuals and systems:</w:t>
      </w:r>
    </w:p>
    <w:p>
      <w:pPr>
        <w:pStyle w:val="Normal"/>
        <w:numPr>
          <w:ilvl w:val="0"/>
          <w:numId w:val="2"/>
        </w:numPr>
        <w:jc w:val="both"/>
        <w:rPr/>
      </w:pPr>
      <w:r>
        <w:rPr/>
        <w:t>Account Managers – overall responsibility for the asset management transaction.</w:t>
      </w:r>
    </w:p>
    <w:p>
      <w:pPr>
        <w:pStyle w:val="Normal"/>
        <w:numPr>
          <w:ilvl w:val="0"/>
          <w:numId w:val="2"/>
        </w:numPr>
        <w:jc w:val="both"/>
        <w:rPr/>
      </w:pPr>
      <w:r>
        <w:rPr/>
        <w:t xml:space="preserve">Asset Managers – ensure that the obligation is met to optimize the assets within the given structure. </w:t>
      </w:r>
    </w:p>
    <w:p>
      <w:pPr>
        <w:pStyle w:val="Normal"/>
        <w:numPr>
          <w:ilvl w:val="0"/>
          <w:numId w:val="2"/>
        </w:numPr>
        <w:jc w:val="both"/>
        <w:rPr/>
      </w:pPr>
      <w:r>
        <w:rPr/>
        <w:t>Web Based Portal – Seller could provide an internet-based application to encompass historical and real-time market data relating to the Seller’s ascribed asset and production portfolio to Buyer.  Through the internet –based application, Buyer could provide to Seller historical and real-time market data for relevant commodities.</w:t>
      </w:r>
    </w:p>
    <w:p>
      <w:pPr>
        <w:pStyle w:val="Normal"/>
        <w:ind w:hanging="1425" w:start="1425" w:end="0"/>
        <w:jc w:val="both"/>
        <w:rPr/>
      </w:pPr>
      <w:r>
        <w:rPr/>
      </w:r>
    </w:p>
    <w:p>
      <w:pPr>
        <w:pStyle w:val="Normal"/>
        <w:ind w:hanging="2160" w:start="2160" w:end="0"/>
        <w:jc w:val="both"/>
        <w:rPr/>
      </w:pPr>
      <w:r>
        <w:rPr>
          <w:u w:val="single"/>
        </w:rPr>
        <w:t>Liability</w:t>
      </w:r>
      <w:r>
        <w:rPr/>
        <w:t>:</w:t>
        <w:tab/>
        <w:t>Neither party will have any liability for incidental, consequential, punitive or special damages and any dispute that may arise, is settled through standard arbitration procedures to be mutually agreed upon. Other terms and conditions will be included in definitive agreements.</w:t>
      </w:r>
    </w:p>
    <w:p>
      <w:pPr>
        <w:pStyle w:val="Normal"/>
        <w:ind w:hanging="1425" w:start="1425" w:end="0"/>
        <w:jc w:val="both"/>
        <w:rPr/>
      </w:pPr>
      <w:r>
        <w:rPr/>
      </w:r>
    </w:p>
    <w:p>
      <w:pPr>
        <w:pStyle w:val="BodyTextIndent2"/>
        <w:ind w:hanging="2160" w:start="2160" w:end="0"/>
        <w:rPr>
          <w:sz w:val="24"/>
        </w:rPr>
      </w:pPr>
      <w:r>
        <w:rPr>
          <w:sz w:val="24"/>
          <w:u w:val="single"/>
        </w:rPr>
        <w:t>Confidentiality</w:t>
      </w:r>
      <w:r>
        <w:rPr>
          <w:sz w:val="24"/>
        </w:rPr>
        <w:t>:</w:t>
        <w:tab/>
        <w:t>The terms and conditions contained within this proposal are deemed confidential and are protected under the confidentiality agreement between Marathon Oil Company and Enron North America Corp</w:t>
      </w:r>
      <w:r>
        <w:rPr/>
        <w:t>.</w:t>
      </w:r>
    </w:p>
    <w:p>
      <w:pPr>
        <w:pStyle w:val="Normal"/>
        <w:ind w:hanging="1425" w:start="1425" w:end="0"/>
        <w:jc w:val="both"/>
        <w:rPr>
          <w:sz w:val="20"/>
        </w:rPr>
      </w:pPr>
      <w:r>
        <w:rPr>
          <w:sz w:val="20"/>
        </w:rPr>
        <w:tab/>
      </w:r>
    </w:p>
    <w:p>
      <w:pPr>
        <w:pStyle w:val="Normal"/>
        <w:ind w:hanging="1425" w:start="1425" w:end="0"/>
        <w:jc w:val="both"/>
        <w:rPr>
          <w:sz w:val="20"/>
        </w:rPr>
      </w:pPr>
      <w:r>
        <w:rPr>
          <w:sz w:val="20"/>
        </w:rPr>
        <w:tab/>
      </w:r>
    </w:p>
    <w:p>
      <w:pPr>
        <w:pStyle w:val="Normal"/>
        <w:ind w:hanging="1425" w:start="1425" w:end="0"/>
        <w:jc w:val="both"/>
        <w:rPr>
          <w:i/>
          <w:i/>
          <w:sz w:val="20"/>
        </w:rPr>
      </w:pPr>
      <w:r>
        <w:rPr>
          <w:sz w:val="20"/>
        </w:rPr>
        <w:tab/>
      </w:r>
    </w:p>
    <w:p>
      <w:pPr>
        <w:pStyle w:val="Normal"/>
        <w:jc w:val="both"/>
        <w:rPr/>
      </w:pPr>
      <w:r>
        <w:rPr>
          <w:i/>
          <w:sz w:val="20"/>
        </w:rPr>
        <w:t>This proposal is for discussion purposes only to facilitate the negotiation, preparation and execution of a definitive agreement.  It is not intended to create a binding or enforceable contract or to be complete and inclusive of the terms of the related proposal.  This is not an offer or commitment of Enron North America Corp. (ENA) or any parent or affiliate of ENA.  The proposal described herein is subject to further review and approval of ENA, appropriate due diligence and execution of definitive agreements containing all appropriate provisions</w:t>
      </w:r>
      <w:r>
        <w:rPr>
          <w:sz w:val="20"/>
        </w:rPr>
        <w:t>.</w:t>
      </w:r>
    </w:p>
    <w:sectPr>
      <w:headerReference w:type="default" r:id="rId2"/>
      <w:footerReference w:type="default" r:id="rId3"/>
      <w:type w:val="nextPage"/>
      <w:pgSz w:w="12240" w:h="15840"/>
      <w:pgMar w:left="1440" w:right="1440" w:gutter="0" w:header="720" w:top="1296" w:footer="720" w:bottom="1296"/>
      <w:pgNumType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2</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rPr>
    </w:pPr>
    <w:r>
      <w:rPr>
        <w:i/>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80"/>
        </w:tabs>
        <w:ind w:start="28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Cs/>
      <w:iCs/>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val="false"/>
    </w:rPr>
  </w:style>
  <w:style w:type="paragraph" w:styleId="Heading2">
    <w:name w:val="heading 2"/>
    <w:basedOn w:val="Normal"/>
    <w:next w:val="Normal"/>
    <w:qFormat/>
    <w:pPr>
      <w:keepNext w:val="true"/>
      <w:numPr>
        <w:ilvl w:val="1"/>
        <w:numId w:val="1"/>
      </w:numPr>
      <w:ind w:firstLine="720" w:start="705" w:end="0"/>
      <w:jc w:val="both"/>
      <w:outlineLvl w:val="1"/>
    </w:pPr>
    <w:rPr>
      <w:i/>
      <w:sz w:val="20"/>
    </w:rPr>
  </w:style>
  <w:style w:type="paragraph" w:styleId="Heading3">
    <w:name w:val="heading 3"/>
    <w:basedOn w:val="Normal"/>
    <w:next w:val="Normal"/>
    <w:qFormat/>
    <w:pPr>
      <w:keepNext w:val="true"/>
      <w:numPr>
        <w:ilvl w:val="2"/>
        <w:numId w:val="1"/>
      </w:numPr>
      <w:ind w:hanging="0" w:start="1425" w:end="0"/>
      <w:jc w:val="both"/>
      <w:outlineLvl w:val="2"/>
    </w:pPr>
    <w:rPr>
      <w:i/>
      <w:sz w:val="20"/>
    </w:rPr>
  </w:style>
  <w:style w:type="paragraph" w:styleId="Heading4">
    <w:name w:val="heading 4"/>
    <w:basedOn w:val="Normal"/>
    <w:next w:val="Normal"/>
    <w:qFormat/>
    <w:pPr>
      <w:keepNext w:val="true"/>
      <w:numPr>
        <w:ilvl w:val="3"/>
        <w:numId w:val="1"/>
      </w:numPr>
      <w:ind w:hanging="0" w:start="1425" w:end="0"/>
      <w:jc w:val="both"/>
      <w:outlineLvl w:val="3"/>
    </w:pPr>
    <w:rPr>
      <w:sz w:val="20"/>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25" w:start="1425" w:end="0"/>
    </w:pPr>
    <w:rPr>
      <w:sz w:val="20"/>
    </w:rPr>
  </w:style>
  <w:style w:type="paragraph" w:styleId="BodyTextIndent2">
    <w:name w:val="Body Text Indent 2"/>
    <w:basedOn w:val="Normal"/>
    <w:qFormat/>
    <w:pPr>
      <w:ind w:hanging="1425" w:start="1425" w:end="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425" w:end="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2001-08-15T16:58:00Z</dcterms:created>
  <dc:creator>Ed McMichael</dc:creator>
  <dc:description/>
  <dc:language>en-CA</dc:language>
  <cp:lastModifiedBy>jmrha</cp:lastModifiedBy>
  <cp:lastPrinted>2001-08-15T14:13:00Z</cp:lastPrinted>
  <dcterms:modified xsi:type="dcterms:W3CDTF">2001-08-15T17:00:00Z</dcterms:modified>
  <cp:revision>3</cp:revision>
  <dc:subject/>
  <dc:title>Structure</dc:title>
</cp:coreProperties>
</file>