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Natural Gas Reserves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Third Party Engineering Reports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Number of Wells by Field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Working Interest &amp; Net Revenue Interest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Joint Operating Agreement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bCs/>
          <w:sz w:val="22"/>
        </w:rPr>
        <w:t>Term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Counterparty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Take-in-Kind Notice Period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Operational Balancing Agreement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Processing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bCs/>
          <w:sz w:val="22"/>
        </w:rPr>
        <w:t>LNGs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Optional or required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Agreements (cost)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Shrink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Blending/Treating (cost)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Quantity</w:t>
      </w:r>
    </w:p>
    <w:p>
      <w:pPr>
        <w:pStyle w:val="Normal"/>
        <w:rPr>
          <w:sz w:val="22"/>
        </w:rPr>
      </w:pPr>
      <w:r>
        <w:rPr>
          <w:sz w:val="22"/>
        </w:rPr>
        <w:tab/>
        <w:t>Current Production Rates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Location</w:t>
      </w:r>
    </w:p>
    <w:p>
      <w:pPr>
        <w:pStyle w:val="Normal"/>
        <w:rPr>
          <w:sz w:val="22"/>
        </w:rPr>
      </w:pPr>
      <w:r>
        <w:rPr>
          <w:sz w:val="22"/>
        </w:rPr>
        <w:tab/>
        <w:t>Pipeline</w:t>
      </w:r>
    </w:p>
    <w:p>
      <w:pPr>
        <w:pStyle w:val="Normal"/>
        <w:rPr>
          <w:sz w:val="22"/>
        </w:rPr>
      </w:pPr>
      <w:r>
        <w:rPr>
          <w:sz w:val="22"/>
        </w:rPr>
        <w:tab/>
        <w:t>Primary Receipt Points/Pools</w:t>
      </w:r>
    </w:p>
    <w:p>
      <w:pPr>
        <w:pStyle w:val="Normal"/>
        <w:rPr>
          <w:sz w:val="22"/>
        </w:rPr>
      </w:pPr>
      <w:r>
        <w:rPr>
          <w:sz w:val="22"/>
        </w:rPr>
        <w:tab/>
        <w:t>Secondary Receipt Points/Pools</w:t>
      </w:r>
    </w:p>
    <w:p>
      <w:pPr>
        <w:pStyle w:val="Normal"/>
        <w:rPr>
          <w:sz w:val="22"/>
        </w:rPr>
      </w:pPr>
      <w:r>
        <w:rPr>
          <w:sz w:val="22"/>
        </w:rPr>
        <w:tab/>
        <w:t>Flex points</w:t>
      </w:r>
    </w:p>
    <w:p>
      <w:pPr>
        <w:pStyle w:val="Normal"/>
        <w:rPr>
          <w:sz w:val="22"/>
        </w:rPr>
      </w:pPr>
      <w:r>
        <w:rPr>
          <w:sz w:val="22"/>
        </w:rPr>
        <w:tab/>
        <w:t>Constraints</w:t>
      </w:r>
    </w:p>
    <w:p>
      <w:pPr>
        <w:pStyle w:val="Normal"/>
        <w:rPr>
          <w:sz w:val="22"/>
        </w:rPr>
      </w:pPr>
      <w:r>
        <w:rPr>
          <w:sz w:val="22"/>
        </w:rPr>
        <w:tab/>
        <w:t>Lease</w:t>
      </w:r>
    </w:p>
    <w:p>
      <w:pPr>
        <w:pStyle w:val="Normal"/>
        <w:rPr>
          <w:sz w:val="22"/>
        </w:rPr>
      </w:pPr>
      <w:r>
        <w:rPr>
          <w:sz w:val="22"/>
        </w:rPr>
        <w:tab/>
        <w:t>County/Parish</w:t>
      </w:r>
    </w:p>
    <w:p>
      <w:pPr>
        <w:pStyle w:val="Normal"/>
        <w:rPr>
          <w:sz w:val="22"/>
        </w:rPr>
      </w:pPr>
      <w:r>
        <w:rPr>
          <w:sz w:val="22"/>
        </w:rPr>
        <w:tab/>
        <w:t>State</w:t>
      </w:r>
    </w:p>
    <w:p>
      <w:pPr>
        <w:pStyle w:val="Normal"/>
        <w:rPr>
          <w:sz w:val="22"/>
        </w:rPr>
      </w:pPr>
      <w:r>
        <w:rPr>
          <w:sz w:val="22"/>
        </w:rPr>
        <w:tab/>
        <w:t>Operator (contact information)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Pricing Structure</w:t>
      </w:r>
    </w:p>
    <w:p>
      <w:pPr>
        <w:pStyle w:val="Normal"/>
        <w:rPr>
          <w:sz w:val="20"/>
        </w:rPr>
      </w:pPr>
      <w:r>
        <w:rPr>
          <w:sz w:val="22"/>
        </w:rPr>
        <w:tab/>
        <w:t>See Gas Supply &amp; Sales Questions</w:t>
      </w:r>
      <w:r>
        <w:br w:type="page"/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 xml:space="preserve">Gas Supply &amp; Gas Sales Contracts 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Term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bCs/>
          <w:sz w:val="22"/>
        </w:rPr>
        <w:t>Primary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Extension Rights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Quantity</w:t>
      </w:r>
    </w:p>
    <w:p>
      <w:pPr>
        <w:pStyle w:val="Normal"/>
        <w:rPr>
          <w:sz w:val="22"/>
        </w:rPr>
      </w:pPr>
      <w:r>
        <w:rPr>
          <w:sz w:val="22"/>
        </w:rPr>
        <w:tab/>
        <w:t>Min/Max Daily</w:t>
      </w:r>
    </w:p>
    <w:p>
      <w:pPr>
        <w:pStyle w:val="Normal"/>
        <w:rPr>
          <w:sz w:val="22"/>
        </w:rPr>
      </w:pPr>
      <w:r>
        <w:rPr>
          <w:sz w:val="22"/>
        </w:rPr>
        <w:tab/>
        <w:t>Min/Max Monthly</w:t>
      </w:r>
    </w:p>
    <w:p>
      <w:pPr>
        <w:pStyle w:val="Normal"/>
        <w:rPr>
          <w:sz w:val="22"/>
        </w:rPr>
      </w:pPr>
      <w:r>
        <w:rPr>
          <w:sz w:val="22"/>
        </w:rPr>
        <w:tab/>
        <w:t>Min/Max Seasonal/Annual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Notice</w:t>
      </w:r>
    </w:p>
    <w:p>
      <w:pPr>
        <w:pStyle w:val="Normal"/>
        <w:rPr>
          <w:sz w:val="22"/>
        </w:rPr>
      </w:pPr>
      <w:r>
        <w:rPr>
          <w:sz w:val="22"/>
        </w:rPr>
        <w:tab/>
        <w:t>Intra-day</w:t>
      </w:r>
    </w:p>
    <w:p>
      <w:pPr>
        <w:pStyle w:val="Normal"/>
        <w:rPr>
          <w:sz w:val="22"/>
        </w:rPr>
      </w:pPr>
      <w:r>
        <w:rPr>
          <w:sz w:val="22"/>
        </w:rPr>
        <w:tab/>
        <w:t>Daily</w:t>
      </w:r>
    </w:p>
    <w:p>
      <w:pPr>
        <w:pStyle w:val="Normal"/>
        <w:rPr>
          <w:sz w:val="22"/>
        </w:rPr>
      </w:pPr>
      <w:r>
        <w:rPr>
          <w:sz w:val="22"/>
        </w:rPr>
        <w:tab/>
        <w:t>Monthly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Location</w:t>
      </w:r>
    </w:p>
    <w:p>
      <w:pPr>
        <w:pStyle w:val="Normal"/>
        <w:rPr>
          <w:sz w:val="22"/>
        </w:rPr>
      </w:pPr>
      <w:r>
        <w:rPr>
          <w:sz w:val="22"/>
        </w:rPr>
        <w:tab/>
        <w:t>Primary Delivery Points/Receipt Points/Pooling Points</w:t>
      </w:r>
    </w:p>
    <w:p>
      <w:pPr>
        <w:pStyle w:val="Normal"/>
        <w:rPr>
          <w:sz w:val="22"/>
        </w:rPr>
      </w:pPr>
      <w:r>
        <w:rPr>
          <w:sz w:val="22"/>
        </w:rPr>
        <w:tab/>
        <w:t>Secondary Delivery Points/Receipt Points/Pooling Points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Pricing Structure</w:t>
      </w:r>
    </w:p>
    <w:p>
      <w:pPr>
        <w:pStyle w:val="Normal"/>
        <w:rPr>
          <w:sz w:val="22"/>
        </w:rPr>
      </w:pPr>
      <w:r>
        <w:rPr>
          <w:sz w:val="22"/>
        </w:rPr>
        <w:tab/>
        <w:t>Fix Price</w:t>
      </w:r>
    </w:p>
    <w:p>
      <w:pPr>
        <w:pStyle w:val="Normal"/>
        <w:rPr>
          <w:sz w:val="22"/>
        </w:rPr>
      </w:pPr>
      <w:r>
        <w:rPr>
          <w:sz w:val="22"/>
        </w:rPr>
        <w:tab/>
        <w:t>Collars, Calls or Puts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First of Month Index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Gas Daily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Swing Rights Sold or Bought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Reservation/Demand (Baseload)</w:t>
      </w:r>
    </w:p>
    <w:p>
      <w:pPr>
        <w:pStyle w:val="Normal"/>
        <w:rPr>
          <w:sz w:val="22"/>
        </w:rPr>
      </w:pPr>
      <w:r>
        <w:rPr>
          <w:sz w:val="22"/>
        </w:rPr>
        <w:tab/>
        <w:t>Reservation/Demand (Option)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bCs/>
        </w:rPr>
      </w:pPr>
      <w:r>
        <w:rPr>
          <w:bCs/>
        </w:rPr>
        <w:t>Counterparty Legal Name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br w:type="page"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0"/>
          <w:u w:val="single"/>
        </w:rPr>
      </w:pPr>
      <w:r>
        <w:rPr>
          <w:b/>
          <w:sz w:val="32"/>
        </w:rPr>
        <w:t xml:space="preserve">Storage </w:t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6"/>
        <w:ind w:hanging="0" w:start="0"/>
        <w:rPr/>
      </w:pPr>
      <w:r>
        <w:rPr/>
        <w:t>For Storage Facilities Leased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Service tariff (Type &amp; Classification)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Contract terms</w:t>
      </w:r>
    </w:p>
    <w:p>
      <w:pPr>
        <w:pStyle w:val="Normal"/>
        <w:rPr>
          <w:sz w:val="22"/>
        </w:rPr>
      </w:pPr>
      <w:r>
        <w:rPr>
          <w:sz w:val="22"/>
        </w:rPr>
        <w:tab/>
        <w:t>Certification (7c or 284)</w:t>
      </w:r>
    </w:p>
    <w:p>
      <w:pPr>
        <w:pStyle w:val="Normal"/>
        <w:rPr>
          <w:sz w:val="22"/>
        </w:rPr>
      </w:pPr>
      <w:r>
        <w:rPr>
          <w:sz w:val="22"/>
        </w:rPr>
        <w:tab/>
        <w:t>Term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Primary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Secondary</w:t>
      </w:r>
    </w:p>
    <w:p>
      <w:pPr>
        <w:pStyle w:val="Normal"/>
        <w:rPr>
          <w:sz w:val="22"/>
        </w:rPr>
      </w:pPr>
      <w:r>
        <w:rPr>
          <w:sz w:val="22"/>
        </w:rPr>
        <w:tab/>
        <w:t>Total Storage Quantity</w:t>
      </w:r>
    </w:p>
    <w:p>
      <w:pPr>
        <w:pStyle w:val="Normal"/>
        <w:rPr>
          <w:sz w:val="22"/>
        </w:rPr>
      </w:pPr>
      <w:r>
        <w:rPr>
          <w:sz w:val="22"/>
        </w:rPr>
        <w:tab/>
        <w:t>Maximum Daily Injection Quantity – (summer &amp; winter if applicable)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Maximum Daily Withdrawal Quantity – (summer &amp; winter if applicable)</w:t>
      </w:r>
    </w:p>
    <w:p>
      <w:pPr>
        <w:pStyle w:val="Normal"/>
        <w:rPr>
          <w:sz w:val="22"/>
        </w:rPr>
      </w:pPr>
      <w:r>
        <w:rPr>
          <w:sz w:val="22"/>
        </w:rPr>
        <w:tab/>
        <w:t>Receipt Points</w:t>
      </w:r>
    </w:p>
    <w:p>
      <w:pPr>
        <w:pStyle w:val="Normal"/>
        <w:rPr>
          <w:sz w:val="22"/>
        </w:rPr>
      </w:pPr>
      <w:r>
        <w:rPr>
          <w:sz w:val="22"/>
        </w:rPr>
        <w:tab/>
        <w:t>Delivery Points</w:t>
      </w:r>
    </w:p>
    <w:p>
      <w:pPr>
        <w:pStyle w:val="Normal"/>
        <w:rPr>
          <w:sz w:val="22"/>
        </w:rPr>
      </w:pPr>
      <w:r>
        <w:rPr>
          <w:sz w:val="22"/>
        </w:rPr>
        <w:tab/>
        <w:t>Bundled Transportation Capacity? (if yes, see Transportation Capacity Questions)</w:t>
      </w:r>
    </w:p>
    <w:p>
      <w:pPr>
        <w:pStyle w:val="Normal"/>
        <w:rPr>
          <w:sz w:val="22"/>
        </w:rPr>
      </w:pPr>
      <w:r>
        <w:rPr>
          <w:sz w:val="22"/>
        </w:rPr>
        <w:tab/>
        <w:t>Ratchets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i/>
          <w:sz w:val="22"/>
        </w:rPr>
        <w:t>Injection (Inventory &amp;/or date)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Withdrawal (Inventory &amp;/or date)</w:t>
      </w:r>
    </w:p>
    <w:p>
      <w:pPr>
        <w:pStyle w:val="Normal"/>
        <w:rPr>
          <w:sz w:val="22"/>
        </w:rPr>
      </w:pPr>
      <w:r>
        <w:rPr>
          <w:sz w:val="22"/>
        </w:rPr>
        <w:tab/>
        <w:t>Rates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Reservation/Demand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Commodity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Capacity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Injection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Injection Fuel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Withdrawal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Withdrawal Fuel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Other Surcharges</w:t>
      </w:r>
    </w:p>
    <w:p>
      <w:pPr>
        <w:pStyle w:val="Normal"/>
        <w:rPr>
          <w:sz w:val="22"/>
        </w:rPr>
      </w:pPr>
      <w:r>
        <w:rPr>
          <w:sz w:val="22"/>
        </w:rPr>
        <w:tab/>
        <w:t>Balancing Agreements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Same information as above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6"/>
        <w:ind w:hanging="0" w:start="0"/>
        <w:rPr>
          <w:bCs/>
        </w:rPr>
      </w:pPr>
      <w:r>
        <w:rPr>
          <w:bCs/>
        </w:rPr>
        <w:t>For Storage Facilities Owned/Operated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 addition to information above – Operational characteristics like location, reservoir type, intra and inter-state pipelines connected and compression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32"/>
        </w:rPr>
      </w:pPr>
      <w:r>
        <w:rPr>
          <w:b/>
          <w:sz w:val="32"/>
        </w:rPr>
        <w:t xml:space="preserve">Transportation/Gathering Capacity 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Service Tariff (Type and Classification)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Contract Terms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Certification (7c or 284)</w:t>
      </w:r>
    </w:p>
    <w:p>
      <w:pPr>
        <w:pStyle w:val="Normal"/>
        <w:rPr>
          <w:sz w:val="22"/>
        </w:rPr>
      </w:pPr>
      <w:r>
        <w:rPr>
          <w:sz w:val="22"/>
        </w:rPr>
        <w:tab/>
        <w:t>Term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Primary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Extension Rights</w:t>
      </w:r>
    </w:p>
    <w:p>
      <w:pPr>
        <w:pStyle w:val="Normal"/>
        <w:rPr>
          <w:sz w:val="22"/>
        </w:rPr>
      </w:pPr>
      <w:r>
        <w:rPr>
          <w:sz w:val="22"/>
        </w:rPr>
        <w:tab/>
        <w:t>Maximum Daily Quantity</w:t>
      </w:r>
    </w:p>
    <w:p>
      <w:pPr>
        <w:pStyle w:val="Normal"/>
        <w:rPr>
          <w:sz w:val="22"/>
        </w:rPr>
      </w:pPr>
      <w:r>
        <w:rPr>
          <w:sz w:val="22"/>
        </w:rPr>
        <w:tab/>
        <w:t>Receipt Points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Primary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Secondary</w:t>
      </w:r>
    </w:p>
    <w:p>
      <w:pPr>
        <w:pStyle w:val="Normal"/>
        <w:rPr>
          <w:sz w:val="22"/>
        </w:rPr>
      </w:pPr>
      <w:r>
        <w:rPr>
          <w:sz w:val="22"/>
        </w:rPr>
        <w:tab/>
        <w:t>Delivery Points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Primary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Secondary</w:t>
      </w:r>
    </w:p>
    <w:p>
      <w:pPr>
        <w:pStyle w:val="Normal"/>
        <w:rPr>
          <w:sz w:val="22"/>
        </w:rPr>
      </w:pPr>
      <w:r>
        <w:rPr>
          <w:sz w:val="22"/>
        </w:rPr>
        <w:tab/>
        <w:t>Rates (if other than Maximum Tariff rates)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Reservation/Demand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Commodity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Surcharges</w:t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i/>
          <w:sz w:val="22"/>
        </w:rPr>
        <w:t>Fuel</w:t>
      </w:r>
    </w:p>
    <w:p>
      <w:pPr>
        <w:pStyle w:val="Normal"/>
        <w:rPr>
          <w:sz w:val="22"/>
        </w:rPr>
      </w:pPr>
      <w:r>
        <w:rPr>
          <w:sz w:val="22"/>
        </w:rPr>
        <w:tab/>
        <w:t>Overrun Rights/Provisions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Volumetric</w:t>
        <w:tab/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Charges/Penalties</w:t>
      </w:r>
    </w:p>
    <w:p>
      <w:pPr>
        <w:pStyle w:val="Normal"/>
        <w:rPr/>
      </w:pPr>
      <w:r>
        <w:rPr>
          <w:sz w:val="20"/>
        </w:rPr>
        <w:tab/>
      </w:r>
      <w:r>
        <w:rPr>
          <w:sz w:val="22"/>
        </w:rPr>
        <w:t>Transfer Rights/Provisions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Volumetric</w:t>
      </w:r>
    </w:p>
    <w:p>
      <w:pPr>
        <w:pStyle w:val="Normal"/>
        <w:rPr>
          <w:sz w:val="20"/>
        </w:rPr>
      </w:pPr>
      <w:r>
        <w:rPr>
          <w:i/>
          <w:sz w:val="22"/>
        </w:rPr>
        <w:tab/>
        <w:tab/>
        <w:t>Charges/Penalties</w:t>
      </w:r>
    </w:p>
    <w:p>
      <w:pPr>
        <w:pStyle w:val="Normal"/>
        <w:rPr>
          <w:sz w:val="22"/>
        </w:rPr>
      </w:pPr>
      <w:r>
        <w:rPr>
          <w:sz w:val="22"/>
        </w:rPr>
        <w:tab/>
        <w:t>Cash out Provisions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jc w:val="center"/>
        <w:rPr>
          <w:b/>
          <w:bCs/>
          <w:i w:val="false"/>
          <w:i w:val="false"/>
          <w:iCs/>
          <w:sz w:val="32"/>
        </w:rPr>
      </w:pPr>
      <w:r>
        <w:rPr>
          <w:b/>
          <w:bCs/>
          <w:i w:val="false"/>
          <w:iCs/>
          <w:sz w:val="32"/>
        </w:rPr>
        <w:t>LNG</w:t>
      </w:r>
    </w:p>
    <w:p>
      <w:pPr>
        <w:pStyle w:val="Normal"/>
        <w:rPr>
          <w:b/>
          <w:bCs/>
          <w:i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Liquefaction Facility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bCs/>
          <w:sz w:val="22"/>
        </w:rPr>
        <w:t>Gas supply and associated storage capacity arrangements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Operator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Performance and Maintenance History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Expansion Capabilities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Relevant Permits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Development Projects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Heading1"/>
        <w:ind w:hanging="0" w:start="0"/>
        <w:rPr/>
      </w:pPr>
      <w:r>
        <w:rPr/>
        <w:t>Tankers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bCs/>
          <w:sz w:val="22"/>
        </w:rPr>
        <w:t>Availability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Own or Lease, Charters, Sub-charters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Capacity and throughput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Operating History and Parameters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  <w:tab/>
        <w:t>Affiliated Insurance Agreements</w:t>
      </w:r>
    </w:p>
    <w:p>
      <w:pPr>
        <w:pStyle w:val="Normal"/>
        <w:rPr/>
      </w:pPr>
      <w:r>
        <w:rPr>
          <w:bCs/>
          <w:sz w:val="22"/>
        </w:rPr>
        <w:tab/>
        <w:tab/>
      </w:r>
      <w:r>
        <w:rPr>
          <w:bCs/>
          <w:i/>
          <w:iCs/>
          <w:sz w:val="22"/>
        </w:rPr>
        <w:t>Casualty and Loss of Business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ab/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Regasification Facilities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bCs/>
          <w:sz w:val="22"/>
        </w:rPr>
        <w:t>Deliverability Rights and Capacity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bCs/>
          <w:sz w:val="22"/>
        </w:rPr>
        <w:t>Location</w:t>
      </w:r>
    </w:p>
    <w:p>
      <w:pPr>
        <w:pStyle w:val="Normal"/>
        <w:rPr>
          <w:sz w:val="22"/>
        </w:rPr>
      </w:pPr>
      <w:r>
        <w:rPr>
          <w:sz w:val="22"/>
        </w:rPr>
        <w:tab/>
        <w:t>Owner/ Operator</w:t>
      </w:r>
    </w:p>
    <w:p>
      <w:pPr>
        <w:pStyle w:val="Normal"/>
        <w:rPr>
          <w:sz w:val="22"/>
        </w:rPr>
      </w:pPr>
      <w:r>
        <w:rPr>
          <w:sz w:val="22"/>
        </w:rPr>
        <w:tab/>
        <w:t>Pipeline Transport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iCs/>
          <w:sz w:val="22"/>
        </w:rPr>
        <w:t>Firm</w:t>
        <w:tab/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ab/>
        <w:tab/>
        <w:t>Interruptible</w:t>
      </w:r>
    </w:p>
    <w:p>
      <w:pPr>
        <w:pStyle w:val="Normal"/>
        <w:ind w:firstLine="720" w:end="0"/>
        <w:rPr/>
      </w:pPr>
      <w:r>
        <w:rPr>
          <w:sz w:val="22"/>
        </w:rPr>
        <w:t>Associated Storage and Supply Contract(s)</w:t>
      </w:r>
      <w:r>
        <w:rPr>
          <w:b/>
          <w:sz w:val="22"/>
        </w:rPr>
        <w:t xml:space="preserve"> 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>Scheduling</w:t>
      </w:r>
    </w:p>
    <w:p>
      <w:pPr>
        <w:pStyle w:val="Normal"/>
        <w:rPr>
          <w:sz w:val="22"/>
        </w:rPr>
      </w:pPr>
      <w:r>
        <w:rPr>
          <w:sz w:val="22"/>
        </w:rPr>
        <w:tab/>
        <w:t>Quantity (Dth)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Maximum Daily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Maximum Seasonal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Capacity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Minimum Cushion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Boil Off</w:t>
      </w:r>
    </w:p>
    <w:p>
      <w:pPr>
        <w:pStyle w:val="Normal"/>
        <w:rPr>
          <w:sz w:val="22"/>
        </w:rPr>
      </w:pPr>
      <w:r>
        <w:rPr>
          <w:sz w:val="22"/>
        </w:rPr>
        <w:tab/>
        <w:t>Inventory Turnover Requirements</w:t>
      </w:r>
    </w:p>
    <w:p>
      <w:pPr>
        <w:pStyle w:val="Normal"/>
        <w:rPr>
          <w:sz w:val="22"/>
        </w:rPr>
      </w:pPr>
      <w:r>
        <w:rPr>
          <w:sz w:val="22"/>
        </w:rPr>
        <w:tab/>
        <w:t>Costs</w:t>
      </w:r>
    </w:p>
    <w:p>
      <w:pPr>
        <w:pStyle w:val="Normal"/>
        <w:rPr/>
      </w:pPr>
      <w:r>
        <w:rPr>
          <w:sz w:val="22"/>
        </w:rPr>
        <w:tab/>
      </w:r>
      <w:r>
        <w:rPr>
          <w:i/>
          <w:sz w:val="22"/>
        </w:rPr>
        <w:tab/>
        <w:t>Fixed (if not rate based)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Variable (per Dth)</w:t>
      </w:r>
    </w:p>
    <w:p>
      <w:pPr>
        <w:pStyle w:val="Normal"/>
        <w:rPr>
          <w:b/>
          <w:bCs/>
          <w:i/>
          <w:i/>
          <w:sz w:val="22"/>
        </w:rPr>
      </w:pPr>
      <w:r>
        <w:rPr>
          <w:b/>
          <w:bCs/>
          <w:i/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>International Reserves</w:t>
      </w: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ab/>
      </w:r>
      <w:r>
        <w:br w:type="page"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>
          <w:b/>
          <w:bCs/>
        </w:rPr>
      </w:pPr>
      <w:r>
        <w:rPr>
          <w:b/>
          <w:bCs/>
        </w:rPr>
        <w:t>Power and System Operations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 </w:t>
        <w:tab/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>System Operations</w:t>
      </w:r>
    </w:p>
    <w:p>
      <w:pPr>
        <w:pStyle w:val="Normal"/>
        <w:rPr>
          <w:sz w:val="22"/>
        </w:rPr>
      </w:pPr>
      <w:r>
        <w:rPr>
          <w:sz w:val="22"/>
        </w:rPr>
        <w:tab/>
        <w:t>System Map</w:t>
      </w:r>
    </w:p>
    <w:p>
      <w:pPr>
        <w:pStyle w:val="Normal"/>
        <w:rPr>
          <w:sz w:val="22"/>
        </w:rPr>
      </w:pPr>
      <w:r>
        <w:rPr>
          <w:sz w:val="22"/>
        </w:rPr>
        <w:tab/>
        <w:t>System Pressures/Flows/Constraints</w:t>
      </w:r>
    </w:p>
    <w:p>
      <w:pPr>
        <w:pStyle w:val="Normal"/>
        <w:rPr>
          <w:sz w:val="22"/>
        </w:rPr>
      </w:pPr>
      <w:r>
        <w:rPr>
          <w:sz w:val="22"/>
        </w:rPr>
        <w:tab/>
        <w:t>Point/Quantity Displacement</w:t>
      </w:r>
    </w:p>
    <w:p>
      <w:pPr>
        <w:pStyle w:val="Normal"/>
        <w:rPr>
          <w:sz w:val="22"/>
        </w:rPr>
      </w:pPr>
      <w:r>
        <w:rPr>
          <w:sz w:val="22"/>
        </w:rPr>
        <w:tab/>
        <w:t>System Operation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Compression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Peaking facilities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ind w:hanging="0" w:start="0"/>
        <w:rPr>
          <w:b/>
          <w:bCs/>
          <w:i w:val="false"/>
          <w:i w:val="false"/>
          <w:iCs/>
        </w:rPr>
      </w:pPr>
      <w:r>
        <w:rPr>
          <w:b/>
          <w:bCs/>
          <w:i w:val="false"/>
          <w:iCs/>
        </w:rPr>
        <w:t>Power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Size and Location of Cogen Facilities</w:t>
        <w:tab/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Number of Turbines/ Boilers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General Operating Parameters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Emissions and Environmental Constraints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Interconnections to the Grid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Transmission / Wheeling Agreements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Availability and Efficiency of Facilities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ab/>
        <w:t>Maintenance and Performance History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Fuel Supply Agreements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Electric Sales Agreements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Steam Sales Agreements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Load Requirements 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Local Tariff – i.e. ability to purchase power from local utility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Available Site Parameters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Affiliated Permits with Cogen Facilities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Water Source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2001-10-11T16:34:00Z</dcterms:created>
  <dc:creator>Albert E. McMichael, Jr.</dc:creator>
  <dc:description/>
  <dc:language>en-CA</dc:language>
  <cp:lastModifiedBy>jmrha</cp:lastModifiedBy>
  <cp:lastPrinted>2001-10-11T11:59:00Z</cp:lastPrinted>
  <dcterms:modified xsi:type="dcterms:W3CDTF">2001-10-11T16:34:00Z</dcterms:modified>
  <cp:revision>2</cp:revision>
  <dc:subject/>
  <dc:title>Storage Questions</dc:title>
</cp:coreProperties>
</file>