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rPr/>
      </w:pPr>
      <w:r>
        <w:rPr/>
        <w:t>Memorandum</w:t>
      </w:r>
    </w:p>
    <w:p>
      <w:pPr>
        <w:pStyle w:val="Header"/>
        <w:tabs>
          <w:tab w:val="clear" w:pos="4320"/>
          <w:tab w:val="clear" w:pos="8640"/>
          <w:tab w:val="right" w:pos="1440" w:leader="none"/>
          <w:tab w:val="left" w:pos="1800" w:leader="none"/>
        </w:tabs>
        <w:spacing w:before="0" w:after="120"/>
        <w:rPr/>
      </w:pPr>
      <w:r>
        <w:rPr/>
        <w:tab/>
      </w:r>
    </w:p>
    <w:p>
      <w:pPr>
        <w:pStyle w:val="Normal"/>
        <w:tabs>
          <w:tab w:val="clear" w:pos="720"/>
          <w:tab w:val="right" w:pos="1440" w:leader="none"/>
          <w:tab w:val="left" w:pos="1800" w:leader="none"/>
        </w:tabs>
        <w:spacing w:before="0" w:after="120"/>
        <w:rPr/>
      </w:pPr>
      <w:r>
        <w:rPr/>
        <w:tab/>
      </w:r>
      <w:r>
        <w:rPr>
          <w:b/>
        </w:rPr>
        <w:t>To</w:t>
      </w:r>
      <w:r>
        <w:rPr/>
        <w:t>:</w:t>
        <w:tab/>
        <w:t>Karen Denne</w:t>
      </w:r>
    </w:p>
    <w:p>
      <w:pPr>
        <w:pStyle w:val="Normal"/>
        <w:tabs>
          <w:tab w:val="clear" w:pos="720"/>
          <w:tab w:val="right" w:pos="1440" w:leader="none"/>
          <w:tab w:val="left" w:pos="1800" w:leader="none"/>
        </w:tabs>
        <w:spacing w:before="0" w:after="120"/>
        <w:rPr/>
      </w:pPr>
      <w:r>
        <w:rPr/>
        <w:tab/>
      </w:r>
      <w:r>
        <w:rPr>
          <w:b/>
        </w:rPr>
        <w:t>From</w:t>
      </w:r>
      <w:r>
        <w:rPr/>
        <w:t>:</w:t>
        <w:tab/>
        <w:t>Marathon Communications</w:t>
      </w:r>
    </w:p>
    <w:p>
      <w:pPr>
        <w:pStyle w:val="Normal"/>
        <w:tabs>
          <w:tab w:val="clear" w:pos="720"/>
          <w:tab w:val="right" w:pos="1440" w:leader="none"/>
          <w:tab w:val="left" w:pos="1800" w:leader="none"/>
        </w:tabs>
        <w:spacing w:before="0" w:after="120"/>
        <w:rPr/>
      </w:pPr>
      <w:r>
        <w:rPr/>
        <w:tab/>
      </w:r>
      <w:r>
        <w:rPr>
          <w:b/>
        </w:rPr>
        <w:t>Date</w:t>
      </w:r>
      <w:r>
        <w:rPr/>
        <w:t>:</w:t>
        <w:tab/>
        <w:t>12/11/00</w:t>
      </w:r>
    </w:p>
    <w:p>
      <w:pPr>
        <w:pStyle w:val="Normal"/>
        <w:tabs>
          <w:tab w:val="clear" w:pos="720"/>
          <w:tab w:val="right" w:pos="1440" w:leader="none"/>
          <w:tab w:val="left" w:pos="1800" w:leader="none"/>
        </w:tabs>
        <w:spacing w:before="0" w:after="120"/>
        <w:rPr/>
      </w:pPr>
      <w:r>
        <w:rPr/>
        <w:tab/>
      </w:r>
      <w:r>
        <w:rPr>
          <w:b/>
        </w:rPr>
        <w:t>Re</w:t>
      </w:r>
      <w:r>
        <w:rPr/>
        <w:t>:</w:t>
        <w:tab/>
        <w:t>Near-term Strategic Communications</w:t>
      </w:r>
    </w:p>
    <w:p>
      <w:pPr>
        <w:pStyle w:val="Normal"/>
        <w:spacing w:before="0" w:after="120"/>
        <w:rPr>
          <w:rFonts w:ascii="Tahoma" w:hAnsi="Tahoma" w:cs="Tahoma"/>
          <w:sz w:val="22"/>
          <w:lang w:val="en-CA" w:eastAsia="en-CA"/>
        </w:rPr>
      </w:pPr>
      <w:r>
        <w:rPr>
          <w:rFonts w:cs="Tahoma" w:ascii="Tahoma" w:hAnsi="Tahoma"/>
          <w:sz w:val="22"/>
          <w:lang w:val="en-CA" w:eastAsia="en-CA"/>
        </w:rPr>
        <mc:AlternateContent>
          <mc:Choice Requires="wps">
            <w:drawing>
              <wp:anchor behindDoc="0" distT="0" distB="0" distL="114935" distR="114935" simplePos="0" locked="0" layoutInCell="1" allowOverlap="1" relativeHeight="2">
                <wp:simplePos x="0" y="0"/>
                <wp:positionH relativeFrom="column">
                  <wp:posOffset>0</wp:posOffset>
                </wp:positionH>
                <wp:positionV relativeFrom="paragraph">
                  <wp:posOffset>140970</wp:posOffset>
                </wp:positionV>
                <wp:extent cx="5394960" cy="0"/>
                <wp:effectExtent l="0" t="6350" r="0" b="6350"/>
                <wp:wrapNone/>
                <wp:docPr id="1" name=""/>
                <a:graphic xmlns:a="http://schemas.openxmlformats.org/drawingml/2006/main">
                  <a:graphicData uri="http://schemas.microsoft.com/office/word/2010/wordprocessingShape">
                    <wps:wsp>
                      <wps:cNvSpPr/>
                      <wps:spPr>
                        <a:xfrm>
                          <a:off x="0" y="0"/>
                          <a:ext cx="539496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11.1pt" to="424.75pt,11.1pt" stroked="t" o:allowincell="f" style="position:absolute">
                <v:stroke color="black" weight="12600" joinstyle="miter" endcap="flat"/>
                <v:fill o:detectmouseclick="t" on="false"/>
                <w10:wrap type="none"/>
              </v:line>
            </w:pict>
          </mc:Fallback>
        </mc:AlternateContent>
      </w:r>
    </w:p>
    <w:p>
      <w:pPr>
        <w:pStyle w:val="Normal"/>
        <w:rPr/>
      </w:pPr>
      <w:r>
        <w:rPr/>
        <w:t>As we discussed, the following is an outline of achievable communications objectives in the near-term.  We have divided ‘near-term’ into two distinct phases: (a) the remainder of December 2000, and (b) the first quarter of 2001.</w:t>
      </w:r>
    </w:p>
    <w:p>
      <w:pPr>
        <w:pStyle w:val="Normal"/>
        <w:rPr/>
      </w:pPr>
      <w:r>
        <w:rPr/>
      </w:r>
    </w:p>
    <w:p>
      <w:pPr>
        <w:pStyle w:val="Header"/>
        <w:tabs>
          <w:tab w:val="clear" w:pos="4320"/>
          <w:tab w:val="clear" w:pos="8640"/>
        </w:tabs>
        <w:spacing w:before="0" w:after="120"/>
        <w:rPr>
          <w:rFonts w:ascii="Tahoma" w:hAnsi="Tahoma" w:cs="Tahoma"/>
          <w:sz w:val="22"/>
        </w:rPr>
      </w:pPr>
      <w:r>
        <w:rPr>
          <w:rFonts w:cs="Tahoma" w:ascii="Tahoma" w:hAnsi="Tahoma"/>
          <w:sz w:val="22"/>
        </w:rPr>
        <w:t>December 2000</w:t>
      </w:r>
    </w:p>
    <w:p>
      <w:pPr>
        <w:pStyle w:val="Header"/>
        <w:tabs>
          <w:tab w:val="clear" w:pos="4320"/>
          <w:tab w:val="clear" w:pos="8640"/>
        </w:tabs>
        <w:spacing w:before="0" w:after="120"/>
        <w:rPr/>
      </w:pPr>
      <w:r>
        <w:rPr/>
        <w:t xml:space="preserve">Our objective in the remaining days of December is to initiate with key “grass-tops” leaders statewide a dialog through which we may encourage them to understand that a lasting solution to the current energy crisis must necessarily consist of: (a) greater generating capacity, (b) forward markets, and (c) functional retail markets.  Further, we will present ENRON as a part of that solution. </w:t>
      </w:r>
    </w:p>
    <w:p>
      <w:pPr>
        <w:pStyle w:val="Header"/>
        <w:tabs>
          <w:tab w:val="clear" w:pos="4320"/>
          <w:tab w:val="clear" w:pos="8640"/>
        </w:tabs>
        <w:rPr>
          <w:i/>
          <w:i/>
        </w:rPr>
      </w:pPr>
      <w:r>
        <w:rPr>
          <w:i/>
        </w:rPr>
      </w:r>
    </w:p>
    <w:p>
      <w:pPr>
        <w:pStyle w:val="Header"/>
        <w:tabs>
          <w:tab w:val="clear" w:pos="4320"/>
          <w:tab w:val="clear" w:pos="8640"/>
        </w:tabs>
        <w:rPr/>
      </w:pPr>
      <w:r>
        <w:rPr>
          <w:i/>
        </w:rPr>
        <w:t>Nature / Target Audience</w:t>
      </w:r>
      <w:r>
        <w:rPr/>
        <w:t>:</w:t>
      </w:r>
      <w:r>
        <w:rPr>
          <w:i/>
        </w:rPr>
        <w:t xml:space="preserve"> </w:t>
      </w:r>
      <w:r>
        <w:rPr/>
        <w:t xml:space="preserve">CEO-level </w:t>
      </w:r>
      <w:r>
        <w:rPr>
          <w:i/>
        </w:rPr>
        <w:t>e-mail</w:t>
      </w:r>
      <w:r>
        <w:rPr/>
        <w:t xml:space="preserve"> from ENRON to 25-50 industrial and technology leaders in California.</w:t>
      </w:r>
    </w:p>
    <w:p>
      <w:pPr>
        <w:pStyle w:val="Header"/>
        <w:tabs>
          <w:tab w:val="clear" w:pos="4320"/>
          <w:tab w:val="clear" w:pos="8640"/>
        </w:tabs>
        <w:rPr>
          <w:i/>
          <w:i/>
        </w:rPr>
      </w:pPr>
      <w:r>
        <w:rPr>
          <w:i/>
        </w:rPr>
      </w:r>
    </w:p>
    <w:p>
      <w:pPr>
        <w:pStyle w:val="Header"/>
        <w:tabs>
          <w:tab w:val="clear" w:pos="4320"/>
          <w:tab w:val="clear" w:pos="8640"/>
        </w:tabs>
        <w:rPr/>
      </w:pPr>
      <w:r>
        <w:rPr>
          <w:i/>
        </w:rPr>
        <w:t>Communications Mode</w:t>
      </w:r>
      <w:r>
        <w:rPr/>
        <w:t xml:space="preserve">: The currency of the crisis, and its widespread coverage in the media, argues persuasively for a response some kind; we recommend e-mail because direct mail is likely to go unread in the year-end holiday crush. </w:t>
      </w:r>
    </w:p>
    <w:p>
      <w:pPr>
        <w:pStyle w:val="Header"/>
        <w:tabs>
          <w:tab w:val="clear" w:pos="4320"/>
          <w:tab w:val="clear" w:pos="8640"/>
        </w:tabs>
        <w:rPr/>
      </w:pPr>
      <w:r>
        <w:rPr/>
      </w:r>
    </w:p>
    <w:p>
      <w:pPr>
        <w:pStyle w:val="Header"/>
        <w:tabs>
          <w:tab w:val="clear" w:pos="4320"/>
          <w:tab w:val="clear" w:pos="8640"/>
        </w:tabs>
        <w:rPr/>
      </w:pPr>
      <w:r>
        <w:rPr>
          <w:i/>
        </w:rPr>
        <w:t>Timing</w:t>
      </w:r>
      <w:r>
        <w:rPr/>
        <w:t xml:space="preserve">: Immediately, based on your approval of the overall plan and the message.  </w:t>
      </w:r>
    </w:p>
    <w:p>
      <w:pPr>
        <w:pStyle w:val="Header"/>
        <w:tabs>
          <w:tab w:val="clear" w:pos="4320"/>
          <w:tab w:val="clear" w:pos="8640"/>
        </w:tabs>
        <w:rPr/>
      </w:pPr>
      <w:r>
        <w:rPr/>
      </w:r>
    </w:p>
    <w:p>
      <w:pPr>
        <w:pStyle w:val="Header"/>
        <w:tabs>
          <w:tab w:val="clear" w:pos="4320"/>
          <w:tab w:val="clear" w:pos="8640"/>
        </w:tabs>
        <w:rPr/>
      </w:pPr>
      <w:r>
        <w:rPr>
          <w:i/>
        </w:rPr>
        <w:t>Message</w:t>
      </w:r>
      <w:r>
        <w:rPr/>
        <w:t>: Generally, this is a report from the front lines, as it were, from an energy player whose interest in creating and competing in a stable California energy market is presumably matched by the recipient’s economic and civic interest in being able to rely on such a market.  The message is thus peer to peer.  More specifically, the letter will relate the following:</w:t>
      </w:r>
    </w:p>
    <w:p>
      <w:pPr>
        <w:pStyle w:val="Header"/>
        <w:tabs>
          <w:tab w:val="clear" w:pos="4320"/>
          <w:tab w:val="clear" w:pos="8640"/>
        </w:tabs>
        <w:rPr/>
      </w:pPr>
      <w:r>
        <w:rPr/>
      </w:r>
    </w:p>
    <w:p>
      <w:pPr>
        <w:pStyle w:val="Header"/>
        <w:numPr>
          <w:ilvl w:val="0"/>
          <w:numId w:val="2"/>
        </w:numPr>
        <w:tabs>
          <w:tab w:val="clear" w:pos="4320"/>
          <w:tab w:val="clear" w:pos="8640"/>
          <w:tab w:val="left" w:pos="360" w:leader="none"/>
        </w:tabs>
        <w:spacing w:before="0" w:after="120"/>
        <w:rPr/>
      </w:pPr>
      <w:r>
        <w:rPr/>
        <w:t>The recipient’s position or stature (among key industrial stakeholders) makes vital his need to be apprised of the true nature of the crisis and its dynamics.</w:t>
      </w:r>
    </w:p>
    <w:p>
      <w:pPr>
        <w:pStyle w:val="Header"/>
        <w:numPr>
          <w:ilvl w:val="0"/>
          <w:numId w:val="2"/>
        </w:numPr>
        <w:tabs>
          <w:tab w:val="clear" w:pos="4320"/>
          <w:tab w:val="clear" w:pos="8640"/>
          <w:tab w:val="left" w:pos="360" w:leader="none"/>
        </w:tabs>
        <w:spacing w:before="0" w:after="120"/>
        <w:rPr/>
      </w:pPr>
      <w:r>
        <w:rPr/>
        <w:t>ENRON is active among those working with the California legislature and with federal, state and local agencies in addressing the energy crisis.</w:t>
      </w:r>
    </w:p>
    <w:p>
      <w:pPr>
        <w:pStyle w:val="Header"/>
        <w:numPr>
          <w:ilvl w:val="0"/>
          <w:numId w:val="2"/>
        </w:numPr>
        <w:tabs>
          <w:tab w:val="clear" w:pos="4320"/>
          <w:tab w:val="clear" w:pos="8640"/>
          <w:tab w:val="left" w:pos="360" w:leader="none"/>
        </w:tabs>
        <w:spacing w:before="0" w:after="120"/>
        <w:rPr/>
      </w:pPr>
      <w:r>
        <w:rPr/>
        <w:t>Given the complexity of the issue, the extreme importance of its economic implications, and the intense political and regulatory struggle it has set off, one (i.e., the recipient) should anticipate hearing a myriad of recommended solutions to the problem, mostly bad.</w:t>
      </w:r>
    </w:p>
    <w:p>
      <w:pPr>
        <w:pStyle w:val="Header"/>
        <w:numPr>
          <w:ilvl w:val="0"/>
          <w:numId w:val="2"/>
        </w:numPr>
        <w:tabs>
          <w:tab w:val="clear" w:pos="4320"/>
          <w:tab w:val="clear" w:pos="8640"/>
          <w:tab w:val="left" w:pos="360" w:leader="none"/>
        </w:tabs>
        <w:spacing w:before="0" w:after="120"/>
        <w:rPr/>
      </w:pPr>
      <w:r>
        <w:rPr/>
        <w:t>As the email recipient knows better than most, a lasting solution to this problem (regardless of how complex individual people have made it) lies in classical market mechanisms: responsive capacity (supply), risk management (forward markets) and opportunity (freely operating retail markets).</w:t>
      </w:r>
    </w:p>
    <w:p>
      <w:pPr>
        <w:pStyle w:val="Header"/>
        <w:numPr>
          <w:ilvl w:val="0"/>
          <w:numId w:val="2"/>
        </w:numPr>
        <w:tabs>
          <w:tab w:val="clear" w:pos="4320"/>
          <w:tab w:val="clear" w:pos="8640"/>
          <w:tab w:val="left" w:pos="360" w:leader="none"/>
        </w:tabs>
        <w:spacing w:before="0" w:after="120"/>
        <w:rPr/>
      </w:pPr>
      <w:r>
        <w:rPr/>
        <w:t xml:space="preserve">It is manifestly not the case that a free market in electric energy has been tried and found wanting; rather, that it hasn’t yet actually been tried.  The move to deregulate, in other words, should not be abandoned half-tried: it remains a good idea that can be made better.  </w:t>
      </w:r>
    </w:p>
    <w:p>
      <w:pPr>
        <w:pStyle w:val="Header"/>
        <w:numPr>
          <w:ilvl w:val="0"/>
          <w:numId w:val="2"/>
        </w:numPr>
        <w:tabs>
          <w:tab w:val="clear" w:pos="4320"/>
          <w:tab w:val="clear" w:pos="8640"/>
          <w:tab w:val="left" w:pos="360" w:leader="none"/>
        </w:tabs>
        <w:spacing w:before="0" w:after="120"/>
        <w:rPr/>
      </w:pPr>
      <w:r>
        <w:rPr/>
        <w:t>ENRON thinks it important for the recipient to be part of the dialog and of the thinking that will eventually win the day.</w:t>
      </w:r>
    </w:p>
    <w:p>
      <w:pPr>
        <w:pStyle w:val="Header"/>
        <w:tabs>
          <w:tab w:val="clear" w:pos="4320"/>
          <w:tab w:val="clear" w:pos="8640"/>
        </w:tabs>
        <w:rPr/>
      </w:pPr>
      <w:r>
        <w:rPr/>
      </w:r>
    </w:p>
    <w:p>
      <w:pPr>
        <w:pStyle w:val="Normal"/>
        <w:rPr/>
      </w:pPr>
      <w:r>
        <w:rPr>
          <w:i/>
        </w:rPr>
        <w:t>Media Relations</w:t>
      </w:r>
      <w:r>
        <w:rPr/>
        <w:t>: None contemplated for this period.</w:t>
      </w:r>
    </w:p>
    <w:p>
      <w:pPr>
        <w:pStyle w:val="Normal"/>
        <w:rPr/>
      </w:pPr>
      <w:r>
        <w:rPr/>
      </w:r>
    </w:p>
    <w:p>
      <w:pPr>
        <w:pStyle w:val="Header"/>
        <w:tabs>
          <w:tab w:val="clear" w:pos="4320"/>
          <w:tab w:val="clear" w:pos="8640"/>
        </w:tabs>
        <w:spacing w:before="0" w:after="120"/>
        <w:rPr>
          <w:rFonts w:ascii="Tahoma" w:hAnsi="Tahoma" w:cs="Tahoma"/>
          <w:sz w:val="22"/>
        </w:rPr>
      </w:pPr>
      <w:r>
        <w:rPr>
          <w:rFonts w:cs="Tahoma" w:ascii="Tahoma" w:hAnsi="Tahoma"/>
          <w:sz w:val="22"/>
        </w:rPr>
        <w:t>First Quarter 2001</w:t>
      </w:r>
    </w:p>
    <w:p>
      <w:pPr>
        <w:pStyle w:val="Header"/>
        <w:tabs>
          <w:tab w:val="clear" w:pos="4320"/>
          <w:tab w:val="clear" w:pos="8640"/>
        </w:tabs>
        <w:rPr/>
      </w:pPr>
      <w:r>
        <w:rPr/>
        <w:t>At this point we anticipate implementing strategic communications programs in two general spheres: first, in support of ENRON’s efforts in Sacramento. As soon as we understand the precise nature of those efforts, we will design and implement appropriate programs in districts represented by Sacramento lawmakers closely involved in the ongoing energy debate. The second sphere of communications activity will involve greatly expanding the “grass-tops” program initiated in December.</w:t>
      </w:r>
    </w:p>
    <w:p>
      <w:pPr>
        <w:pStyle w:val="Header"/>
        <w:tabs>
          <w:tab w:val="clear" w:pos="4320"/>
          <w:tab w:val="clear" w:pos="8640"/>
        </w:tabs>
        <w:rPr/>
      </w:pPr>
      <w:r>
        <w:rPr/>
      </w:r>
    </w:p>
    <w:p>
      <w:pPr>
        <w:pStyle w:val="Header"/>
        <w:tabs>
          <w:tab w:val="clear" w:pos="4320"/>
          <w:tab w:val="clear" w:pos="8640"/>
        </w:tabs>
        <w:rPr/>
      </w:pPr>
      <w:r>
        <w:rPr>
          <w:i/>
        </w:rPr>
        <w:t>Nature / Target Audience</w:t>
      </w:r>
      <w:r>
        <w:rPr/>
        <w:t xml:space="preserve">: CEO-level </w:t>
      </w:r>
      <w:r>
        <w:rPr>
          <w:i/>
        </w:rPr>
        <w:t>direct mail</w:t>
      </w:r>
      <w:r>
        <w:rPr/>
        <w:t xml:space="preserve"> from ENRON to 5000 to 7500 community and opinion leaders throughout California. Audience categories will be expanded to include (illustratively): businesses, organizations/associations, religious and nonprofit, academic.  Also, ENRON should communicate directly with its California customers, as well as with its California employees.</w:t>
      </w:r>
    </w:p>
    <w:p>
      <w:pPr>
        <w:pStyle w:val="Header"/>
        <w:tabs>
          <w:tab w:val="clear" w:pos="4320"/>
          <w:tab w:val="clear" w:pos="8640"/>
        </w:tabs>
        <w:rPr/>
      </w:pPr>
      <w:r>
        <w:rPr/>
      </w:r>
    </w:p>
    <w:p>
      <w:pPr>
        <w:pStyle w:val="Header"/>
        <w:tabs>
          <w:tab w:val="clear" w:pos="4320"/>
          <w:tab w:val="clear" w:pos="8640"/>
        </w:tabs>
        <w:rPr/>
      </w:pPr>
      <w:r>
        <w:rPr>
          <w:i/>
        </w:rPr>
        <w:t>Communications Mode</w:t>
      </w:r>
      <w:r>
        <w:rPr/>
        <w:t xml:space="preserve">: With the holidays behind us, we will switch to </w:t>
      </w:r>
      <w:r>
        <w:rPr>
          <w:i/>
        </w:rPr>
        <w:t>direct mail</w:t>
      </w:r>
      <w:r>
        <w:rPr/>
        <w:t xml:space="preserve"> (as anticipated in our earlier planning).  </w:t>
      </w:r>
    </w:p>
    <w:p>
      <w:pPr>
        <w:pStyle w:val="Header"/>
        <w:tabs>
          <w:tab w:val="clear" w:pos="4320"/>
          <w:tab w:val="clear" w:pos="8640"/>
        </w:tabs>
        <w:rPr/>
      </w:pPr>
      <w:r>
        <w:rPr/>
      </w:r>
    </w:p>
    <w:p>
      <w:pPr>
        <w:pStyle w:val="Header"/>
        <w:tabs>
          <w:tab w:val="clear" w:pos="4320"/>
          <w:tab w:val="clear" w:pos="8640"/>
        </w:tabs>
        <w:rPr/>
      </w:pPr>
      <w:r>
        <w:rPr>
          <w:i/>
        </w:rPr>
        <w:t>Timing</w:t>
      </w:r>
      <w:r>
        <w:rPr/>
        <w:t>: For the most part ASAP, and as new developments demand.</w:t>
      </w:r>
    </w:p>
    <w:p>
      <w:pPr>
        <w:pStyle w:val="Header"/>
        <w:tabs>
          <w:tab w:val="clear" w:pos="4320"/>
          <w:tab w:val="clear" w:pos="8640"/>
        </w:tabs>
        <w:rPr/>
      </w:pPr>
      <w:r>
        <w:rPr/>
      </w:r>
    </w:p>
    <w:p>
      <w:pPr>
        <w:pStyle w:val="Header"/>
        <w:tabs>
          <w:tab w:val="clear" w:pos="4320"/>
          <w:tab w:val="clear" w:pos="8640"/>
        </w:tabs>
        <w:rPr/>
      </w:pPr>
      <w:r>
        <w:rPr>
          <w:i/>
        </w:rPr>
        <w:t>Message</w:t>
      </w:r>
      <w:r>
        <w:rPr/>
        <w:t>: The message will be a version of the aforementioned message, appropriately nuanced for the target audience and reflecting current developments (from FERC, etc.).</w:t>
      </w:r>
    </w:p>
    <w:p>
      <w:pPr>
        <w:pStyle w:val="Header"/>
        <w:tabs>
          <w:tab w:val="clear" w:pos="4320"/>
          <w:tab w:val="clear" w:pos="8640"/>
        </w:tabs>
        <w:rPr/>
      </w:pPr>
      <w:r>
        <w:rPr/>
      </w:r>
    </w:p>
    <w:p>
      <w:pPr>
        <w:pStyle w:val="Normal"/>
        <w:rPr/>
      </w:pPr>
      <w:r>
        <w:rPr>
          <w:i/>
        </w:rPr>
        <w:t>Media Relations</w:t>
      </w:r>
      <w:r>
        <w:rPr/>
        <w:t>: None contemplated for this period.</w:t>
      </w:r>
    </w:p>
    <w:p>
      <w:pPr>
        <w:pStyle w:val="Normal"/>
        <w:rPr/>
      </w:pPr>
      <w:r>
        <w:rPr/>
      </w:r>
    </w:p>
    <w:p>
      <w:pPr>
        <w:pStyle w:val="Normal"/>
        <w:rPr/>
      </w:pPr>
      <w:r>
        <w:rPr/>
      </w:r>
    </w:p>
    <w:p>
      <w:pPr>
        <w:pStyle w:val="Normal"/>
        <w:rPr/>
      </w:pPr>
      <w:r>
        <w:rPr/>
      </w:r>
    </w:p>
    <w:p>
      <w:pPr>
        <w:pStyle w:val="Normal"/>
        <w:rPr/>
      </w:pPr>
      <w:r>
        <w:rPr/>
        <w:t xml:space="preserve">Karen, please let us know at your earliest convenience how you wish us to proceed.  </w:t>
      </w:r>
    </w:p>
    <w:sectPr>
      <w:headerReference w:type="default" r:id="rId2"/>
      <w:headerReference w:type="first" r:id="rId3"/>
      <w:footerReference w:type="default" r:id="rId4"/>
      <w:footerReference w:type="first" r:id="rId5"/>
      <w:type w:val="nextPage"/>
      <w:pgSz w:w="12240" w:h="15840"/>
      <w:pgMar w:left="2016" w:right="201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i/>
        <w:i/>
        <w:sz w:val="22"/>
      </w:rPr>
    </w:pPr>
    <w:r>
      <w:rPr>
        <w:i/>
        <w:sz w:val="22"/>
      </w:rPr>
      <w:t>Marathon Communications Inc.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Near-term Communications: 8 December 2000, Page </w:t>
    </w:r>
    <w:r>
      <w:rPr/>
      <w:fldChar w:fldCharType="begin"/>
    </w:r>
    <w:r>
      <w:rPr/>
      <w:instrText xml:space="preserve"> PAGE </w:instrText>
    </w:r>
    <w:r>
      <w:rPr/>
      <w:fldChar w:fldCharType="separate"/>
    </w:r>
    <w:r>
      <w:rPr/>
      <w:t>2</w:t>
    </w:r>
    <w:r>
      <w:rPr/>
      <w:fldChar w:fldCharType="end"/>
    </w:r>
    <w:r>
      <w:rPr/>
      <w:t xml:space="preserve"> of </w:t>
    </w:r>
    <w:r>
      <w:rPr/>
      <w:fldChar w:fldCharType="begin"/>
    </w:r>
    <w:r>
      <w:rPr/>
      <w:instrText xml:space="preserve"> NUMPAGES \* ARABIC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504"/>
        </w:tabs>
        <w:ind w:start="504" w:hanging="504"/>
      </w:pPr>
    </w:lvl>
    <w:lvl w:ilvl="1">
      <w:start w:val="1"/>
      <w:pStyle w:val="Heading2"/>
      <w:numFmt w:val="decimal"/>
      <w:lvlText w:val="%2."/>
      <w:lvlJc w:val="start"/>
      <w:pPr>
        <w:ind w:start="0" w:hanging="0"/>
      </w:pPr>
    </w:lvl>
    <w:lvl w:ilvl="2">
      <w:start w:val="1"/>
      <w:pStyle w:val="Heading3"/>
      <w:numFmt w:val="lowerLetter"/>
      <w:lvlText w:val="%3."/>
      <w:lvlJc w:val="start"/>
      <w:pPr>
        <w:tabs>
          <w:tab w:val="num" w:pos="360"/>
        </w:tabs>
        <w:ind w:start="1800" w:hanging="360"/>
      </w:pPr>
    </w:lvl>
    <w:lvl w:ilvl="3">
      <w:start w:val="1"/>
      <w:pStyle w:val="Heading4"/>
      <w:numFmt w:val="decimal"/>
      <w:lvlText w:val="%4)"/>
      <w:lvlJc w:val="start"/>
      <w:pPr>
        <w:tabs>
          <w:tab w:val="num" w:pos="360"/>
        </w:tabs>
        <w:ind w:start="2520" w:hanging="36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504" w:leader="none"/>
      </w:tabs>
      <w:spacing w:before="240" w:after="60"/>
      <w:outlineLvl w:val="0"/>
    </w:pPr>
    <w:rPr>
      <w:kern w:val="2"/>
      <w:sz w:val="28"/>
    </w:rPr>
  </w:style>
  <w:style w:type="paragraph" w:styleId="Heading2">
    <w:name w:val="heading 2"/>
    <w:basedOn w:val="Normal"/>
    <w:next w:val="Normal"/>
    <w:qFormat/>
    <w:pPr>
      <w:keepNext w:val="true"/>
      <w:numPr>
        <w:ilvl w:val="1"/>
        <w:numId w:val="1"/>
      </w:numPr>
      <w:tabs>
        <w:tab w:val="clear" w:pos="720"/>
        <w:tab w:val="left" w:pos="1080" w:leader="none"/>
      </w:tabs>
      <w:spacing w:before="240" w:after="60"/>
      <w:ind w:firstLine="720" w:start="0" w:end="0"/>
      <w:outlineLvl w:val="1"/>
    </w:pPr>
    <w:rPr/>
  </w:style>
  <w:style w:type="paragraph" w:styleId="Heading3">
    <w:name w:val="heading 3"/>
    <w:basedOn w:val="Normal"/>
    <w:next w:val="Normal"/>
    <w:qFormat/>
    <w:pPr>
      <w:keepNext w:val="true"/>
      <w:numPr>
        <w:ilvl w:val="2"/>
        <w:numId w:val="1"/>
      </w:numPr>
      <w:tabs>
        <w:tab w:val="clear" w:pos="720"/>
        <w:tab w:val="left" w:pos="1800" w:leader="none"/>
      </w:tabs>
      <w:spacing w:before="120" w:after="60"/>
      <w:outlineLvl w:val="2"/>
    </w:pPr>
    <w:rPr/>
  </w:style>
  <w:style w:type="paragraph" w:styleId="Heading4">
    <w:name w:val="heading 4"/>
    <w:basedOn w:val="Normal"/>
    <w:next w:val="Normal"/>
    <w:qFormat/>
    <w:pPr>
      <w:keepNext w:val="true"/>
      <w:numPr>
        <w:ilvl w:val="3"/>
        <w:numId w:val="1"/>
      </w:numPr>
      <w:tabs>
        <w:tab w:val="clear" w:pos="720"/>
        <w:tab w:val="left" w:pos="2520" w:leader="none"/>
      </w:tabs>
      <w:spacing w:before="120" w:after="60"/>
      <w:outlineLvl w:val="3"/>
    </w:pPr>
    <w:rPr/>
  </w:style>
  <w:style w:type="paragraph" w:styleId="Heading6">
    <w:name w:val="heading 6"/>
    <w:basedOn w:val="Normal"/>
    <w:next w:val="Normal"/>
    <w:qFormat/>
    <w:pPr>
      <w:keepNext w:val="true"/>
      <w:spacing w:before="0" w:after="120"/>
      <w:outlineLvl w:val="5"/>
    </w:pPr>
    <w:rPr>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2000-12-07T18:38:00Z</dcterms:created>
  <dc:creator>John Graham</dc:creator>
  <dc:description/>
  <dc:language>en-CA</dc:language>
  <cp:lastModifiedBy>kdenne</cp:lastModifiedBy>
  <cp:lastPrinted>2000-12-11T09:53:00Z</cp:lastPrinted>
  <dcterms:modified xsi:type="dcterms:W3CDTF">2000-12-13T18:16:00Z</dcterms:modified>
  <cp:revision>12</cp:revision>
  <dc:subject/>
  <dc:title>Memorandum</dc:title>
</cp:coreProperties>
</file>