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0"/>
          <w:tab w:val="left" w:pos="-1440" w:leader="none"/>
          <w:tab w:val="left" w:pos="-720" w:leader="none"/>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end"/>
        <w:rPr>
          <w:b w:val="false"/>
          <w:u w:val="none"/>
        </w:rPr>
      </w:pPr>
      <w:r>
        <w:rPr/>
        <w:t>DRAFT 3/22/00</w:t>
      </w:r>
    </w:p>
    <w:p>
      <w:pPr>
        <w:pStyle w:val="Heading"/>
        <w:tabs>
          <w:tab w:val="clear" w:pos="0"/>
          <w:tab w:val="left" w:pos="-1440" w:leader="none"/>
          <w:tab w:val="left" w:pos="-720" w:leader="none"/>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end"/>
        <w:rPr>
          <w:b w:val="false"/>
          <w:u w:val="none"/>
        </w:rPr>
      </w:pPr>
      <w:r>
        <w:rPr>
          <w:b w:val="false"/>
          <w:u w:val="none"/>
        </w:rPr>
      </w:r>
    </w:p>
    <w:p>
      <w:pPr>
        <w:pStyle w:val="Heading"/>
        <w:tabs>
          <w:tab w:val="clear" w:pos="0"/>
          <w:tab w:val="left" w:pos="-1440" w:leader="none"/>
          <w:tab w:val="left" w:pos="-720" w:leader="none"/>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GUARANTEE AGREEMENT</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This Guarantee Agreement (“</w:t>
      </w:r>
      <w:r>
        <w:rPr>
          <w:u w:val="single"/>
        </w:rPr>
        <w:t>Guarantee</w:t>
      </w:r>
      <w:r>
        <w:rPr/>
        <w:t xml:space="preserve">”) is entered into as of this ___ day of ______,2000, by PETROLEOS DE VENEZUELA, S.A., a </w:t>
      </w:r>
      <w:r>
        <w:rPr>
          <w:i/>
        </w:rPr>
        <w:t>sociedad anónima</w:t>
      </w:r>
      <w:r>
        <w:rPr/>
        <w:t xml:space="preserve"> organized under the laws of the Republic of Venezuela (“</w:t>
      </w:r>
      <w:r>
        <w:rPr>
          <w:u w:val="single"/>
        </w:rPr>
        <w:t>Guaran</w:t>
        <w:softHyphen/>
        <w:t>tor</w:t>
      </w:r>
      <w:r>
        <w:rPr/>
        <w:t xml:space="preserve">”), for the benefit of [NAME OF ENTITY], a </w:t>
      </w:r>
      <w:r>
        <w:rPr>
          <w:i/>
        </w:rPr>
        <w:t>compañía en comandita por acciones</w:t>
      </w:r>
      <w:r>
        <w:rPr/>
        <w:t xml:space="preserve"> organized under the laws of  Venezuela (“</w:t>
      </w:r>
      <w:r>
        <w:rPr>
          <w:u w:val="single"/>
        </w:rPr>
        <w:t>Buyer</w:t>
      </w:r>
      <w:r>
        <w:rPr/>
        <w:t>”).</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outlineLvl w:val="0"/>
        <w:rPr>
          <w:b/>
          <w:u w:val="single"/>
        </w:rPr>
      </w:pPr>
      <w:r>
        <w:rPr>
          <w:b/>
          <w:u w:val="single"/>
        </w:rPr>
        <w:t>RECITALS</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b/>
        </w:rPr>
        <w:t>WHEREAS</w:t>
      </w:r>
      <w:r>
        <w:rPr/>
        <w:t xml:space="preserve">, concurrently with the execution of this Guarantee, Buyer and PDVSA Gas, S.A., a </w:t>
      </w:r>
      <w:r>
        <w:rPr>
          <w:i/>
        </w:rPr>
        <w:t>sociedad anónima</w:t>
      </w:r>
      <w:r>
        <w:rPr/>
        <w:t xml:space="preserve"> organized under the laws of Venezuela and an Affiliate of Guarantor (“</w:t>
      </w:r>
      <w:r>
        <w:rPr>
          <w:u w:val="single"/>
        </w:rPr>
        <w:t>Seller</w:t>
      </w:r>
      <w:r>
        <w:rPr/>
        <w:t>”), have</w:t>
      </w:r>
      <w:bookmarkStart w:id="0" w:name="holder"/>
      <w:bookmarkEnd w:id="0"/>
      <w:r>
        <w:rPr/>
        <w:t xml:space="preserve"> entered into the Methane Gas Supply Agreement  dated the date hereof (the “</w:t>
      </w:r>
      <w:r>
        <w:rPr>
          <w:u w:val="single"/>
        </w:rPr>
        <w:t>GSA</w:t>
      </w:r>
      <w:r>
        <w:rPr/>
        <w:t xml:space="preserve">”); </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ind w:firstLine="720" w:end="0"/>
        <w:rPr/>
      </w:pPr>
      <w:r>
        <w:rPr>
          <w:b/>
        </w:rPr>
        <w:t>WHEREAS</w:t>
      </w:r>
      <w:r>
        <w:rPr/>
        <w:t xml:space="preserve">, concurrently with the execution of this Guarantee, Buyer, Seller and  PDVSA Petróleo y Gas, S.A., a </w:t>
      </w:r>
      <w:r>
        <w:rPr>
          <w:i/>
        </w:rPr>
        <w:t>sociedad anónima</w:t>
      </w:r>
      <w:r>
        <w:rPr/>
        <w:t xml:space="preserve"> organized under the laws of Venezuela and an Affiliate of Guarantor (“</w:t>
      </w:r>
      <w:r>
        <w:rPr>
          <w:u w:val="single"/>
        </w:rPr>
        <w:t>PDVSA-PG</w:t>
      </w:r>
      <w:r>
        <w:rPr/>
        <w:t>”), have entered into the LNG Sites and Piers Agreement and the Real Property Agreements (collectively, the “</w:t>
      </w:r>
      <w:r>
        <w:rPr>
          <w:u w:val="single"/>
        </w:rPr>
        <w:t>Property Agreements</w:t>
      </w:r>
      <w:r>
        <w:rPr/>
        <w:t>”) to which they are parties;</w:t>
      </w:r>
    </w:p>
    <w:p>
      <w:pPr>
        <w:pStyle w:val="Normal"/>
        <w:widowControl/>
        <w:rPr/>
      </w:pPr>
      <w:r>
        <w:rPr/>
      </w:r>
    </w:p>
    <w:p>
      <w:pPr>
        <w:pStyle w:val="Normal"/>
        <w:widowControl/>
        <w:ind w:firstLine="720" w:end="0"/>
        <w:rPr/>
      </w:pPr>
      <w:r>
        <w:rPr>
          <w:b/>
        </w:rPr>
        <w:t>WHEREAS</w:t>
      </w:r>
      <w:r>
        <w:rPr/>
        <w:t>, concurrently with the execution of this Guarantee, Buyer and Seller have entered into the Warrant Agreement; and</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b/>
        </w:rPr>
        <w:t>WHEREAS</w:t>
      </w:r>
      <w:r>
        <w:rPr/>
        <w:t>, in connection with the execution of the GSA, Guarantor  has agreed to guarantee the payment and performance obligations of each of Seller and PDVSA-PG (together, the “</w:t>
      </w:r>
      <w:r>
        <w:rPr>
          <w:u w:val="single"/>
        </w:rPr>
        <w:t>PDVSA Parties</w:t>
      </w:r>
      <w:r>
        <w:rPr/>
        <w:t>”) under the GSA, the Property Agreements and the Warrant Agreement (collectively, the “</w:t>
      </w:r>
      <w:r>
        <w:rPr>
          <w:u w:val="single"/>
        </w:rPr>
        <w:t>Transaction Documents</w:t>
      </w:r>
      <w:r>
        <w:rPr/>
        <w:t>”) as set forth herein.</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b/>
        </w:rPr>
        <w:t>NOW, THEREFORE</w:t>
      </w:r>
      <w:r>
        <w:rPr/>
        <w:t>, in consideration of the foregoing and the mutual covenants set forth herein, and for other good and valuable consideration, the receipt and sufficiency of which are hereby acknowledged, Guarantor and Buyer hereby agree as follows:</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outlineLvl w:val="0"/>
        <w:rPr>
          <w:b/>
          <w:u w:val="single"/>
        </w:rPr>
      </w:pPr>
      <w:r>
        <w:rPr>
          <w:b/>
          <w:u w:val="single"/>
        </w:rPr>
        <w:t>AGREEMENT</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w:t>
        <w:tab/>
      </w:r>
      <w:r>
        <w:rPr>
          <w:u w:val="single"/>
        </w:rPr>
        <w:t>Defined Terms</w:t>
      </w:r>
      <w:r>
        <w:rPr/>
        <w:t>.  Unless the context shall otherwise require, capitalized terms used herein and not otherwise defined shall have the meanings ascribed to such terms in the GSA.</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3600" w:end="0"/>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w:t>
        <w:tab/>
      </w:r>
      <w:r>
        <w:rPr>
          <w:u w:val="single"/>
        </w:rPr>
        <w:t>Payment Guarantee</w:t>
      </w:r>
      <w:r>
        <w:rPr/>
        <w:t>.  Guarantor hereby unconditionally and irrevocably guarantees to Buyer, as a primary debtor and obligor, the due and punctual payment of all present and future sums that any of the PDVSA Parties may be required to make under the Transaction Documents.  If any of the PDVSA Parties fails to make any such payment in the manner and at the time required under the Transaction Documents, Guaran</w:t>
        <w:softHyphen/>
        <w:t>tor shall make such payment upon demand by Buyer.</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3.</w:t>
        <w:tab/>
      </w:r>
      <w:r>
        <w:rPr>
          <w:u w:val="single"/>
        </w:rPr>
        <w:t>Performance Guarantee</w:t>
      </w:r>
      <w:r>
        <w:rPr/>
        <w:t>.  Guarantor hereby unconditionally and irrevoca</w:t>
        <w:softHyphen/>
        <w:t>bly guarantees to Buyer, as a primary debtor and obligor, the due and punctual perfor</w:t>
        <w:softHyphen/>
        <w:t xml:space="preserve">mance of all present and future obligations of each of the PDVSA Parties under the Transaction Documents.  If any of the PDVSA Parties fails to perform any such obligation in the manner and at the time required under the Transaction Documents, Guarantor shall perform or procure the performance of such obligation upon demand by Buyer. </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4.</w:t>
        <w:tab/>
      </w:r>
      <w:r>
        <w:rPr>
          <w:u w:val="single"/>
        </w:rPr>
        <w:t>Nature of Guarantee</w:t>
      </w:r>
      <w:r>
        <w:rPr/>
        <w:t xml:space="preserve">. </w:t>
        <w:tab/>
        <w:t>This Guarantee is irrevocable and unconditional and shall remain in full force and effect until all obligations of each of the PDVSA Parties under the Transaction Documents are completely and finally satisfied and discharged, notwithstanding (a) any amendment or termination of any of the Transaction Documents, (b) any waiver, extension of time or other concession granted by Buyer, (c) any delay or failure by Buyer in pursuing any remedies available against any of the PDVSA Parties, (d) any addition, release or substitution of Buyer, (e) the non-compliance, default, breach, or failure to perform by Buyer with respect to the obligations to any of the PDVSA Parties under any Transaction Documents, (f) any dissolution, liquidation, insolvency, bankruptcy or reorganization of Buyer or any of the PDVSA Parties, or the existence of any claim or setoff that any of them may have against Buyer, or (g) any other circumstance that might otherwise constitute a legal or equitable discharge or defense of a surety of Buyer that is not available to any of the PDVSA Parties.</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5.</w:t>
        <w:tab/>
      </w:r>
      <w:r>
        <w:rPr>
          <w:u w:val="single"/>
        </w:rPr>
        <w:t>Priority of Guarantee</w:t>
      </w:r>
      <w:r>
        <w:rPr/>
        <w:t xml:space="preserve">. </w:t>
        <w:tab/>
        <w:t>The provision contained in Article 547 of the Commercial Code of  Venezuela shall be fully applicable to this Guarantee.  Accord</w:t>
        <w:softHyphen/>
        <w:t>ingly, Buyer shall have no obligation to pursue any remedy or take any action against or in respect of any the PDVSA Parties prior to enforcing its rights under this Guarantee directly against Guarantor.  In addition, Guarantor may not claim that Buyer could have avoided or miti</w:t>
        <w:softHyphen/>
        <w:t xml:space="preserve">gated in any manner or through any action, the damages resulting from a default of any of the PDVSA Parties under any of the Transaction Documents, or require that Buyer has to resort to any other guarantee held at any time in its favor in order to satisfy its claim before taking any action against Guarantor in connection with its obligation under this document. </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6.</w:t>
        <w:tab/>
      </w:r>
      <w:r>
        <w:rPr>
          <w:u w:val="single"/>
        </w:rPr>
        <w:t>Assignment</w:t>
      </w:r>
      <w:r>
        <w:rPr/>
        <w:t>.  All of the obligations of Guarantor set forth herein shall bind Guarantor and its successors.  Guarantor may not assign or delegate its duties or obligations hereunder without the prior written consent of Buyer, and any purported assignment or delegation without such consent shall be null and void.  Guarantor confirms that this Guarantee shall remain in effect with respect to any assignee of the obligations of any of the PDVSA Parties under any of the Transaction Documents, and upon any such assignment the assignee shall be considered the party to such Transaction Document for all purposes hereunder to the extent of the assigned obligations.  Guarantor additionally confirms that any permitted  assignee of Buyer under the Transaction Documents may exercise all rights and remedies of Buyer under this Guarantee. Guarantor hereby grants its irrevocable consent to the assignment, conveyance, transfer or encumbrance under any Loan Agreements of Buyer’s rights arising from this Guarantee and the Transaction Documents and agrees to take all necessary or reasonable steps required by any Project Lender (including the signing of agree</w:t>
        <w:softHyphen/>
        <w:t>ments, acknowledgments or consents) so as to evidence the creation and efficacy of said assignment, conveyance, transfer or encumbrance. No other person or entity shall be a beneficiary of this Guarantee or have or acquire any rights by reason of this Guarantee.</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ind w:firstLine="720" w:end="0"/>
        <w:rPr/>
      </w:pPr>
      <w:r>
        <w:rPr/>
        <w:t>7.</w:t>
        <w:tab/>
      </w:r>
      <w:r>
        <w:rPr>
          <w:u w:val="single"/>
        </w:rPr>
        <w:t>Waiver of Sovereign Immunity</w:t>
      </w:r>
      <w:r>
        <w:rPr/>
        <w:t>.  To the extent that Guarantor has or hereafter may be entitled to claim any immunity from any jurisdiction for itself or its revenues, assets or proper</w:t>
        <w:softHyphen/>
        <w:t>ties, sovereign immunity from service of process, from suit, from the jurisdiction of any court, from attachment in aid of execution of an arbitral award or judgment (interlocutory or final), or from any other legal process, and to the extent that, in any such jurisdiction there may be at</w:t>
        <w:softHyphen/>
        <w:t xml:space="preserve">tributed such a sovereign immunity (whether claimed or not), Guarantor hereby irrevocably agrees not to invoke such immunity as a defense, and irrevocably waives such immunity; </w:t>
      </w:r>
      <w:r>
        <w:rPr>
          <w:i/>
        </w:rPr>
        <w:t>provided</w:t>
      </w:r>
      <w:r>
        <w:rPr/>
        <w:t xml:space="preserve">, </w:t>
      </w:r>
      <w:r>
        <w:rPr>
          <w:i/>
        </w:rPr>
        <w:t>however</w:t>
      </w:r>
      <w:r>
        <w:rPr/>
        <w:t xml:space="preserve">, that nothing in this Section 7 shall be construed as a waiver by Guarantor of any claim of immunity for any attachment prior to judgement.  Nothing herein shall be construed so as to limit the ability of Buyer to seek specific performance against Guarantor of any of the respective obligations of any of the PDVSA Parties in cases where specific performance is available under applicable Law. </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8.</w:t>
        <w:tab/>
      </w:r>
      <w:r>
        <w:rPr>
          <w:u w:val="single"/>
        </w:rPr>
        <w:t>Representations and Warranties</w:t>
      </w:r>
      <w:r>
        <w:rPr/>
        <w:t>.  As a principal cause and material induce</w:t>
        <w:softHyphen/>
        <w:t>ment to Buyer to enter into the Transaction Documents and this Guarantee, Guarantor hereby represents and warrants to Buyer as follows:</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(a)</w:t>
        <w:tab/>
        <w:t>Guarantor is a s</w:t>
      </w:r>
      <w:r>
        <w:rPr>
          <w:i/>
        </w:rPr>
        <w:t>ociedad anónima</w:t>
      </w:r>
      <w:r>
        <w:rPr/>
        <w:t xml:space="preserve"> duly organized, validly existing and in good standing under the Laws of Venezuela and has the power and authority to own, lease and operate its assets and to conduct the business now being conducted by it.  </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(b)</w:t>
        <w:tab/>
        <w:t>The execution, delivery and performance by Guarantor of this Guarantee and the consummation by Guarantor of the transactions contemplated hereby has been duly authorized and approved by all necessary corporate or other action on the part of Guarantor.  This Guarantee is the legal, valid and binding obligation of Guarantor, enforce</w:t>
        <w:softHyphen/>
        <w:t>able against Guarantor in accordance with its terms, except as the same may be limited by applicable bankruptcy, insolvency, reorganization or moratorium or other laws relating to or affecting creditors’ rights generally.</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080" w:end="0"/>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(c)</w:t>
        <w:tab/>
        <w:t>The execution, delivery and performance by Guarantor of this Guarantee and the consummation by Guarantor of the transac</w:t>
        <w:softHyphen/>
        <w:t>tions contemplated hereby do not (i) violate (with or without the giving of notice or the lapse of time or both) any applicable Law, (ii) conflict with, or result in the breach of any provision of, the charter or by-law or similar governing or organiza</w:t>
        <w:softHyphen/>
        <w:t xml:space="preserve">tional documents of Guarantor, or (iii) violate, conflict with or result in the breach or termination of, or otherwise give any other person the right to terminate, or constitute a default, event of default or an event which with notice, lapse of time or both, would constitute a default or event of default under the terms of any contract or permit to which Guarantor is a party or by which its properties or businesses are bound. </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(d)</w:t>
        <w:tab/>
        <w:t>There is no litigation, arbitration or other claim pending or, to the best of Guarantor’s knowledge, threatened with respect to the Transaction Documents, the Project or any financing for the Project or seeking to challenge, block or enjoin any of the transactions contemplated hereby or thereby.</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(e)</w:t>
        <w:tab/>
        <w:t>All actions, consents, approvals or other actions by, or filings or registra</w:t>
        <w:softHyphen/>
        <w:t>tions with, all Governmental Authorities that are required in connection with the performance by Guarantor of its obligations under this Guarantee, and the consum</w:t>
        <w:softHyphen/>
        <w:t xml:space="preserve">mation of the transactions contemplated hereby, have been obtained or made and are in full force and effect. </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(f)</w:t>
        <w:tab/>
        <w:t>The representations and warranties of Guarantor made pursuant to this Section 8 shall survive the execution of the Transaction Documents, the Loan Agreements and the consumma</w:t>
        <w:softHyphen/>
        <w:t>tion of the transactions provided for herein and therein, and Buyer shall have all remedies available at Law or in equity with respect to any breach, inaccuracy or failure thereof.</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9.</w:t>
        <w:tab/>
      </w:r>
      <w:r>
        <w:rPr>
          <w:u w:val="single"/>
        </w:rPr>
        <w:t>GOVERNING LAW</w:t>
      </w:r>
      <w:r>
        <w:rPr/>
        <w:t>. THIS GUARANTEE SHALL BE GOVERNED BY, CONSTRUED UNDER, AND ENFORCED IN ACCORDANCE WITH THE LAWS OF VENEZUELA.</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w:t>
        <w:tab/>
      </w:r>
      <w:r>
        <w:rPr>
          <w:u w:val="single"/>
        </w:rPr>
        <w:t>Waiver; Amendment</w:t>
      </w:r>
      <w:r>
        <w:rPr/>
        <w:t>.</w:t>
        <w:tab/>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(a)</w:t>
        <w:tab/>
        <w:t xml:space="preserve">No waiver of any breach of or default under any representation, warranty, covenant, agreement or condition set forth herein or of any claim, right or remedy provided for hereunder, and no course of dealing, shall be construed as a waiver of the same or any other breach, default, claim, right or remedy, unless such waiver is in writing and is duly executed and delivered by the party to be bound.  The failure of any party to assert or exercise any claim, right or remedy hereunder shall not be construed as a waiver of such claim, right or remedy in the future. </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(b)</w:t>
        <w:tab/>
        <w:t>This Guarantee may not be altered, modified, amended or changed (other than any waiver of any provision hereof, which shall be effective only if made in accordance with Section 10(a)) in any manner, except by a written agreement executed and delivered by each of Guarantor and Buyer.</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11.</w:t>
        <w:tab/>
      </w:r>
      <w:r>
        <w:rPr>
          <w:u w:val="single"/>
        </w:rPr>
        <w:t>Arbitration</w:t>
      </w:r>
      <w:r>
        <w:rPr/>
        <w:t xml:space="preserve">.   </w:t>
      </w:r>
    </w:p>
    <w:p>
      <w:pPr>
        <w:pStyle w:val="Footer"/>
        <w:widowControl/>
        <w:tabs>
          <w:tab w:val="clear" w:pos="0"/>
          <w:tab w:val="clear" w:pos="82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Footer"/>
        <w:widowControl/>
        <w:tabs>
          <w:tab w:val="clear" w:pos="0"/>
          <w:tab w:val="clear" w:pos="82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(a)</w:t>
        <w:tab/>
        <w:t>(i)</w:t>
        <w:tab/>
        <w:t>Any Dispute arising out of or in connection with this Guaran</w:t>
        <w:softHyphen/>
        <w:t>tee shall be finally and exclusively settled and resolved by independent arbitration in accordance with the ICC Rules, as modified herein and by the Commercial Arbitra</w:t>
        <w:softHyphen/>
        <w:t>tion Law as set forth in this Section 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end="0"/>
        <w:rPr/>
      </w:pPr>
      <w:r>
        <w:rPr/>
        <w:t>(ii)</w:t>
        <w:tab/>
        <w:t>The number of arbitrators shall be three (3).  One (1) arbitrator shall be appointed by each party in accordance with the ICC Rules, and the third arbitrator shall be selected by the two (2) party</w:t>
        <w:noBreakHyphen/>
        <w:t>appointed arbitrators or, failing agreement, by the ICC in accordance with the ICC Rules.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end="0"/>
        <w:rPr/>
      </w:pPr>
      <w:r>
        <w:rPr/>
        <w:t>(iii)</w:t>
        <w:tab/>
        <w:t>The arbitration proceeding shall be conducted in the English language in New York, New York, United States of America, or any other location upon which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end="0"/>
        <w:rPr/>
      </w:pPr>
      <w:r>
        <w:rPr/>
        <w:t>(iv)</w:t>
        <w:tab/>
        <w:t>At any hearing of oral evidence, each party to the arbitration proceeding or its legal counsel shall have the right to present and examine its witnesses and to cross</w:t>
        <w:noBreakHyphen/>
        <w:t>examine the witnesses of the other parties to the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end="0"/>
        <w:rPr/>
      </w:pPr>
      <w:r>
        <w:rPr/>
        <w:t>(v)</w:t>
        <w:tab/>
        <w:t>If the prevailing party in the arbitration makes a claim during the arbitration proceeding, the arbitral award in favor of such party may include an award for pre</w:t>
        <w:noBreakHyphen/>
        <w:t>award (prejudgment) interest and costs for legal representation and assistance.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end="0"/>
        <w:rPr/>
      </w:pPr>
      <w:r>
        <w:rPr/>
        <w:t>(vi)</w:t>
        <w:tab/>
        <w:t xml:space="preserve">Any decision or award of the arbitration panel shall be final and binding upon the parties and shall be made in written and reasoned form. The parties hereby waive, to the extent permitted by Law, and agree not to invoke or exercise, any and all rights to appeal or review such decision or award by any court or tribunal except as permitted by the conventions referenced in this Section 11.  The parties agree that the arbitral decision or award may be enforced against the parties or their assets wherever they may be found, and that a judgment upon the arbitral decision or award may be entered in any court having jurisdiction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end="0"/>
        <w:rPr/>
      </w:pPr>
      <w:r>
        <w:rPr/>
        <w:t>(vii)</w:t>
        <w:tab/>
        <w:t xml:space="preserve">If (i) two (2) or more Disputes arising out of or in connection with this Guarantee or any of the Transaction Documents are simultaneously pending, (ii) the subject matters of such Disputes involve common questions of law or fact,  and (iii) the independent resolution of each such Dispute could result in conflicting awards or obligations, such Disputes may be consolidated in a single proceeding.  If more than one (1) arbitration proceeding involving any such Disputes are pending, such proceedings shall, at the request of either Buyer or Guarantor, be consolidated and settled in a single arbitration proceeding; </w:t>
      </w:r>
      <w:r>
        <w:rPr>
          <w:i/>
        </w:rPr>
        <w:t>provided</w:t>
      </w:r>
      <w:r>
        <w:rPr/>
        <w:t xml:space="preserve">, </w:t>
      </w:r>
      <w:r>
        <w:rPr>
          <w:i/>
        </w:rPr>
        <w:t>however</w:t>
      </w:r>
      <w:r>
        <w:rPr/>
        <w:t>, that the determination of whether such Disputes shall be consolidated shall be determined by the first (1</w:t>
      </w:r>
      <w:r>
        <w:rPr>
          <w:vertAlign w:val="superscript"/>
        </w:rPr>
        <w:t>st</w:t>
      </w:r>
      <w:r>
        <w:rPr/>
        <w:t>) arbitration tribunal established to settle any such Dispute.  If such Disputes are consolidated and more than one (1) arbitration tribunal has been established to settle any of such Disputes, Buyer and Guarantor shall, within twenty (20) Days of such consolidation, select one (1) of the arbitration tribunals so estab</w:t>
        <w:softHyphen/>
        <w:t>lished to settle the single consolidated arbitration proceeding.  If Buyer and Guaran</w:t>
        <w:softHyphen/>
        <w:t>tor are unable to select such arbitration tribunal, the International Court of Arbitra</w:t>
        <w:softHyphen/>
        <w:t>tion of the ICC shall select such arbitration tribunal within thirty (30) Days of the written request by either Buyer or Guarantor.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end="0"/>
        <w:rPr/>
      </w:pPr>
      <w:r>
        <w:rPr/>
        <w:t>(viii)</w:t>
        <w:tab/>
        <w:t>Notwithstanding anything to the contrary herein, the arbitra</w:t>
        <w:softHyphen/>
        <w:t>tion provisions set forth herein, any arbitration proceeding hereunder and any arbitral award pursuant hereto, shall be governed by the United Nations Convention on the Recognition and Enforcement of Foreign Arbitral Awards of June 10, 1958 and the Inter</w:t>
        <w:noBreakHyphen/>
        <w:t>American Convention on International Arbitration of January 30, 1975.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(b)</w:t>
        <w:tab/>
        <w:t>If any party fails or refuses to comply with any arbitral decision or award within twenty (20) Days after the date on which it receives notice of the decision or award, the other party, the arbitration panel or their attorneys</w:t>
        <w:noBreakHyphen/>
        <w:t>in</w:t>
        <w:noBreakHyphen/>
        <w:t>fact may immediately proceed to request the judicial approval necessary for the execution of such decision or award before a competent judge of the domicile of such refusing party or before any other court of competent jurisdiction.  Any award of monetary damages shall bear interest from and including the award date to, but excluding, the date of payment in full at the Default Rate.  Further, if any prevailing party is required to retain counsel to enforce the arbitral decision or award, the party against which the decision or award is made shall reimburse the prevailing party for all reasonable fees and expenses incurred and paid to said counsel for such service, together with interest thereon from and including the payment date to but excluding the date of reimbursement in full at the Default 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 xml:space="preserve">(c) </w:t>
        <w:tab/>
        <w:t>All deadlines specified in this Section 11 may be extended by the written agreement of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(d)</w:t>
        <w:tab/>
        <w:t xml:space="preserve">The procedures specified in this Section 11 shall be the sole, exclusive procedures for the resolution of Disputes between the parties arising from or relating to this Guarantee; </w:t>
      </w:r>
      <w:r>
        <w:rPr>
          <w:i/>
        </w:rPr>
        <w:t>provided, however,</w:t>
      </w:r>
      <w:r>
        <w:rPr/>
        <w:t xml:space="preserve"> that any party may seek a preliminary injunc</w:t>
        <w:softHyphen/>
        <w:t>tion or other preliminary judicial relief if, in its reasonable judgment, such action is necessary to avoid irreparable harm.  Despite such action, the parties shall continue to participate in the procedures specified in this Section 11.  All applicable statutes of limitations shall be tolled while the procedures specified in this Section 11 are pending, and the parties shall take any and all actions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(e)</w:t>
        <w:tab/>
        <w:t xml:space="preserve"> This Guarantee and the rights and obligations of each of Buyer and Guarantor under it shall remain in full force and effect pending the outcome of any dispute resolution procedure invoked under this Section 11.</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(f)</w:t>
        <w:tab/>
        <w:t>Guarantor and Buyer agree that irreparable damage could occur in the event that this Guarantee were not performed in accordance with its specific terms or were otherwise breached.  Accordingly, each of Guarantor and Buyer shall have the right to seek, in aid of arbitration, provisional measures (including, a temporary restraining order or preliminary injunction) to prevent harm.  In addition, an arbitra</w:t>
        <w:softHyphen/>
        <w:t>tion tribunal convened under this Section 11 shall have the power to grant an injunction or injunctions to prevent breaches of this Guarantee, and each of Guaran</w:t>
        <w:softHyphen/>
        <w:t>tor and Buyer shall be entitled to enforce specifically the terms and provisions of an award of such arbitration tribunal providing for such an injunction or injunctions in any court of competent jurisdiction, this being in addition to any other remedy to which they are entitled at law or in equity.  All rights, powers and remedies provided under the Guarantee or otherwise available in respect hereof or at Law or in equity shall be cumulative and not alternative, and the exercise of any thereof by any party thereto shall not preclude the simultaneous or later exercise of any other such rights, power or remedy by such party.</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12.</w:t>
        <w:tab/>
      </w:r>
      <w:r>
        <w:rPr>
          <w:u w:val="single"/>
        </w:rPr>
        <w:t>Enforcement of Guarantee</w:t>
      </w:r>
      <w:r>
        <w:rPr/>
        <w:t>.  This Agreement shall be binding upon, and enforceable by and against, the parties hereto and their respective successors and permitted assignees.  Guarantor shall pay upon demand and presenta</w:t>
        <w:softHyphen/>
        <w:t xml:space="preserve">tion of invoices all reasonable and actual costs and expenses incurred by Buyer in connection with the successful enforcement of this Guarantee, including without limitation, reasonable fees and expenses of counsel. </w:t>
      </w:r>
    </w:p>
    <w:p>
      <w:pPr>
        <w:pStyle w:val="Footer"/>
        <w:widowControl/>
        <w:tabs>
          <w:tab w:val="clear" w:pos="0"/>
          <w:tab w:val="clear" w:pos="8208"/>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13.</w:t>
        <w:tab/>
      </w:r>
      <w:r>
        <w:rPr>
          <w:u w:val="single"/>
        </w:rPr>
        <w:t>Waiver of Rights of Subrogation</w:t>
      </w:r>
      <w:r>
        <w:rPr/>
        <w:t xml:space="preserve">.  Until the obligations of each of the PDVSA Parties under the Transaction Documents shall have been fully discharged in accordance with the terms and provisions thereof and Guarantor shall have indefeasibly made all payments required to be made by it hereunder and each of the PDVSA Parties shall have performed all obligations to be performed by it under the Transaction Documents, Guarantor hereby waives, to the fullest extent permitted by applicable Law, all rights of subrogation, whether arising by contract or operation of law (including, without limitation, any such right arising under any bankruptcy code, any applicable bankruptcy or insolvency law or any other similar law) or otherwise by reason of any payment by it hereunder. </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keepNext w:val="true"/>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w:t>
        <w:tab/>
      </w:r>
      <w:r>
        <w:rPr>
          <w:u w:val="single"/>
        </w:rPr>
        <w:t>Additional Documents; Counterparts</w:t>
      </w:r>
      <w:r>
        <w:rPr/>
        <w:t xml:space="preserve">.  </w:t>
      </w:r>
    </w:p>
    <w:p>
      <w:pPr>
        <w:pStyle w:val="Normal"/>
        <w:keepNext w:val="true"/>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keepNext w:val="true"/>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(a)</w:t>
        <w:tab/>
        <w:t xml:space="preserve">In connection with this Guarantee and all transactions contemplated by this Guarantee, each of Guarantor and Buyer  agrees to execute and deliver such additional documents and instruments and to perform such additional acts as may be necessary or appropriate to effectuate, carry out and perform all of the terms, provisions and conditions of this Guarantee and all such transactions. </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(b) This Guarantee may be executed simultaneously in any number of counterparts in both English and Spanish versions, each of which shall be deemed an original and official version.  The Spanish version shall govern for all legal proceedings in which Spanish is the required language.  The English version shall govern for all legal or arbitral proceedings in which English is the required language.</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15.</w:t>
        <w:tab/>
      </w:r>
      <w:r>
        <w:rPr>
          <w:u w:val="single"/>
        </w:rPr>
        <w:t>Payment Obligations</w:t>
      </w:r>
      <w:r>
        <w:rPr/>
        <w:t xml:space="preserve">.  All sums and amounts payable or to be payable pursuant to the provisions of this Guarantee shall be payable exclusively in Dollars.  The payment obligations of Guarantor under this Guarantee shall rank </w:t>
      </w:r>
      <w:r>
        <w:rPr>
          <w:i/>
        </w:rPr>
        <w:t>pari passu</w:t>
      </w:r>
      <w:r>
        <w:rPr/>
        <w:t xml:space="preserve"> with all other unsubordinated indebtedness of Guarantor now or hereafter existing. </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16.</w:t>
        <w:tab/>
      </w:r>
      <w:r>
        <w:rPr>
          <w:u w:val="single"/>
        </w:rPr>
        <w:t>Notices</w:t>
      </w:r>
      <w:r>
        <w:rPr/>
        <w:t>.</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6480" w:end="0"/>
        <w:rPr/>
      </w:pPr>
      <w:r>
        <w:rPr/>
      </w:r>
      <w:bookmarkStart w:id="1" w:name="QuickMark"/>
      <w:bookmarkStart w:id="2" w:name="QuickMark"/>
      <w:bookmarkEnd w:id="2"/>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(a)</w:t>
        <w:tab/>
        <w:t>If to Guarantor, to:</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Petróleos de Venezuela, S.A.</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__________________________________</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__________________________________</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rPr/>
      </w:pPr>
      <w:r>
        <w:rPr/>
        <w:t>Attention:</w:t>
        <w:tab/>
        <w:t>Consultor Jurídico y Representante Judicial</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rPr/>
      </w:pPr>
      <w:r>
        <w:rPr/>
        <w:t>Telephone:</w:t>
        <w:tab/>
        <w:t>_____________________</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rPr/>
      </w:pPr>
      <w:r>
        <w:rPr/>
        <w:t>Facsimile:</w:t>
        <w:tab/>
        <w:t>_____________________</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With a copy to:</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PDVSA Gas, S.A.</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Edificio Sucre, La Floresta</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Piso 4</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Caracas, Venezuela</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rPr/>
      </w:pPr>
      <w:r>
        <w:rPr/>
        <w:t>Attention:</w:t>
        <w:tab/>
        <w:t>Gustavo Guilarte</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Telephone:</w:t>
        <w:tab/>
        <w:t>_____________________</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rPr/>
      </w:pPr>
      <w:r>
        <w:rPr/>
        <w:t>Facsimile:</w:t>
        <w:tab/>
        <w:t>(582) 208.65.82</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and</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0"/>
        <w:rPr/>
      </w:pPr>
      <w:r>
        <w:rPr/>
        <w:tab/>
        <w:tab/>
        <w:t>PDVSA Petróleo y Gas, S.A.</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__________________________________</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__________________________________</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__________________________________</w:t>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outlineLvl w:val="0"/>
        <w:rPr/>
      </w:pPr>
      <w:r>
        <w:rPr/>
        <w:t>Attention:</w:t>
        <w:tab/>
        <w:t>_____________________</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Telephone:</w:t>
        <w:tab/>
        <w:t>_____________________</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rPr/>
      </w:pPr>
      <w:r>
        <w:rPr/>
        <w:t>Facsimile:</w:t>
        <w:tab/>
        <w:t>_____________________</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(b)</w:t>
        <w:tab/>
        <w:t>If to Buyer, to:</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outlineLvl w:val="0"/>
        <w:rPr/>
      </w:pPr>
      <w:r>
        <w:rPr/>
        <w:t>[                         ]</w:t>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outlineLvl w:val="0"/>
        <w:rPr/>
      </w:pPr>
      <w:r>
        <w:rPr/>
        <w:t>333 Clay Street, Suite 1800</w:t>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outlineLvl w:val="0"/>
        <w:rPr/>
      </w:pPr>
      <w:r>
        <w:rPr/>
        <w:t>Houston, Texas 77002-7361</w:t>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outlineLvl w:val="0"/>
        <w:rPr/>
      </w:pPr>
      <w:r>
        <w:rPr/>
        <w:t>Attention:</w:t>
        <w:tab/>
        <w:t>President</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620" w:end="0"/>
        <w:rPr/>
      </w:pPr>
      <w:r>
        <w:rPr/>
        <w:t>Telephone:</w:t>
        <w:tab/>
        <w:t>713-646-6100</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260" w:start="2880" w:end="0"/>
        <w:rPr/>
      </w:pPr>
      <w:r>
        <w:rPr/>
        <w:t>Facsimile:</w:t>
        <w:tab/>
        <w:t>713-646-6565</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The addresses and facsimile numbers for notices given pursuant to this Guarantee may be changed by means of a written notice given to the other party at least fifteen (15) Business Days prior to the effective date of such change.</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w:t>
        <w:tab/>
      </w:r>
      <w:r>
        <w:rPr>
          <w:u w:val="single"/>
        </w:rPr>
        <w:t>Confidentiality</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(a)</w:t>
        <w:tab/>
        <w:t xml:space="preserve">Each of Guarantor and Buyer shall maintain in strict confidence and protect the confidentiality of all Confidential Information, and shall not disclose any such Confidential Information to any third party without the prior written consent of the other; </w:t>
      </w:r>
      <w:r>
        <w:rPr>
          <w:i/>
        </w:rPr>
        <w:t xml:space="preserve">provided, however, </w:t>
      </w:r>
      <w:r>
        <w:rPr/>
        <w:t xml:space="preserve">that each party shall be entitled to use the Confidential Information for any and all lawful purposes relating to its business, operations and activities, including the financing and auditing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(b)</w:t>
        <w:tab/>
        <w:t>Notwithstanding the provisions of Section 17(a), each party may disclose Confidential Information to the extent that such Confidential Information: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pPr>
      <w:r>
        <w:rPr/>
        <w:t>i.</w:t>
        <w:tab/>
        <w:t>was public prior to its delivery to the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ii.</w:t>
        <w:tab/>
        <w:t>was obtained from a third party with no known duty to maintain its confidentiality;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iii.</w:t>
        <w:tab/>
        <w:t>is required to be disclosed by applicable Law or judicial or administrative or arbitral process or by the rules of any recognized stock exchange on which the shares of a party (or its Affiliates) are traded;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iv.</w:t>
        <w:tab/>
        <w:t>is disclosed to its or its Affiliates' respective Represen</w:t>
        <w:softHyphen/>
        <w:t xml:space="preserve">tatives; </w:t>
      </w:r>
      <w:r>
        <w:rPr>
          <w:i/>
        </w:rPr>
        <w:t>provided, however</w:t>
      </w:r>
      <w:r>
        <w:rPr/>
        <w:t>, that such Representative has a need to receive such Confidential Information to perform its duties, the disclosing party advises such Representative of the confidential nature of the disclosed Confidential Information, and the disclosing party uses its Reasonable Best Efforts to cause such Representative to protect and maintain the confidentiality of the disclosed Confidential Information</w:t>
      </w:r>
      <w:r>
        <w:rPr>
          <w:lang w:val="en-GB"/>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lang w:val="en-GB"/>
        </w:rPr>
      </w:pPr>
      <w:r>
        <w:rPr>
          <w:lang w:val="en-G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lang w:val="en-GB"/>
        </w:rPr>
        <w:t>v.</w:t>
        <w:tab/>
        <w:t xml:space="preserve">is provided to professional advisors, agents, auditors, attorneys or Representatives of the party as is reasonable under the circumstances; </w:t>
      </w:r>
      <w:r>
        <w:rPr>
          <w:i/>
          <w:lang w:val="en-GB"/>
        </w:rPr>
        <w:t>provided</w:t>
      </w:r>
      <w:r>
        <w:rPr>
          <w:lang w:val="en-GB"/>
        </w:rPr>
        <w:t xml:space="preserve">, </w:t>
      </w:r>
      <w:r>
        <w:rPr>
          <w:i/>
          <w:lang w:val="en-GB"/>
        </w:rPr>
        <w:t>however</w:t>
      </w:r>
      <w:r>
        <w:rPr>
          <w:lang w:val="en-GB"/>
        </w:rPr>
        <w:t>, that the party receiving such Confidential Information shall require such persons, other than legal counsel, to undertake in writing to keep such Confidential Information confidential and shall use its Reasonable Best Efforts to ensure compliance with such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lang w:val="en-GB"/>
        </w:rPr>
      </w:pPr>
      <w:r>
        <w:rPr>
          <w:lang w:val="en-G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lang w:val="en-GB"/>
        </w:rPr>
        <w:t>vi.</w:t>
        <w:tab/>
        <w:t xml:space="preserve">is provided to Project Lenders, other potential investors or as otherwise required in connection with the financing or refinancing of such party’s operations contemplated herein, but only to the extent required in connection with such financing or refinancing; </w:t>
      </w:r>
      <w:r>
        <w:rPr>
          <w:i/>
          <w:lang w:val="en-GB"/>
        </w:rPr>
        <w:t>provided</w:t>
      </w:r>
      <w:r>
        <w:rPr>
          <w:lang w:val="en-GB"/>
        </w:rPr>
        <w:t xml:space="preserve">, </w:t>
      </w:r>
      <w:r>
        <w:rPr>
          <w:i/>
          <w:lang w:val="en-GB"/>
        </w:rPr>
        <w:t>however</w:t>
      </w:r>
      <w:r>
        <w:rPr>
          <w:lang w:val="en-GB"/>
        </w:rPr>
        <w:t>, that (except in the case of a financing through the issuance of bonds listed on a recognised stock exchange) the party receiving such Confidential Information shall require such Project Lenders or potential investors to undertake in writing to keep such Confidential Information confidential unless it is necessary pursuant to the applicable Laws relating to the sale of securities to disclose such Confidential Information in connection with obtaining such financing or refinancing (including in respect of any display requirement of a recognized securities exchange) and shall use its Reasonable Best Efforts to ensure compliance with such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lang w:val="en-GB"/>
        </w:rPr>
      </w:pPr>
      <w:r>
        <w:rPr>
          <w:lang w:val="en-G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lang w:val="en-GB"/>
        </w:rPr>
        <w:t>vii.</w:t>
        <w:tab/>
        <w:t xml:space="preserve">is provided to the proposed or potential </w:t>
      </w:r>
      <w:r>
        <w:rPr>
          <w:i/>
          <w:lang w:val="en-GB"/>
        </w:rPr>
        <w:t>bona fide</w:t>
      </w:r>
      <w:r>
        <w:rPr>
          <w:lang w:val="en-GB"/>
        </w:rPr>
        <w:t xml:space="preserve"> purchasers of an interest in a party or the Facility; </w:t>
      </w:r>
      <w:r>
        <w:rPr>
          <w:i/>
          <w:lang w:val="en-GB"/>
        </w:rPr>
        <w:t>provided</w:t>
      </w:r>
      <w:r>
        <w:rPr>
          <w:lang w:val="en-GB"/>
        </w:rPr>
        <w:t xml:space="preserve">, </w:t>
      </w:r>
      <w:r>
        <w:rPr>
          <w:i/>
          <w:lang w:val="en-GB"/>
        </w:rPr>
        <w:t>however,</w:t>
      </w:r>
      <w:r>
        <w:rPr>
          <w:lang w:val="en-GB"/>
        </w:rPr>
        <w:t xml:space="preserve"> that the party receiving such Confidential Information shall require such persons to undertake in writing to keep such Confidential Information confidential unless pursuant to any Laws it is necessary to disclose such Confidential Information and shall use its Reasonable Best Efforts to ensure compliance with such undertaking;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lang w:val="en-GB"/>
        </w:rPr>
      </w:pPr>
      <w:r>
        <w:rPr>
          <w:lang w:val="en-G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lang w:val="en-GB"/>
        </w:rPr>
        <w:t>viii.</w:t>
        <w:tab/>
        <w:t xml:space="preserve">is provided to the Ministry of Energy and Mines and/or any Governmental Authority as necessary for any party to fulfil its obligations under this Guarantee or the Transaction Documents; </w:t>
      </w:r>
      <w:r>
        <w:rPr>
          <w:i/>
          <w:lang w:val="en-GB"/>
        </w:rPr>
        <w:t>provided</w:t>
      </w:r>
      <w:r>
        <w:rPr>
          <w:lang w:val="en-GB"/>
        </w:rPr>
        <w:t xml:space="preserve">, </w:t>
      </w:r>
      <w:r>
        <w:rPr>
          <w:i/>
          <w:lang w:val="en-GB"/>
        </w:rPr>
        <w:t>however,</w:t>
      </w:r>
      <w:r>
        <w:rPr>
          <w:lang w:val="en-GB"/>
        </w:rPr>
        <w:t xml:space="preserve"> that such party shall request the Ministry of Energy and Mines and/or such Governmental Authority pursuant to the appropriate administrative procedures to undertake to keep such material confidential.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lang w:val="en-GB"/>
        </w:rPr>
      </w:pPr>
      <w:r>
        <w:rPr>
          <w:lang w:val="en-G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(c) In cases involving dispute resolution under the procedures set forth in Section  11, the disclosing party shall (i) immediately notify the other party so that it may seek an appropriate protective order or other remedy and (ii) use its Reasonable Best Efforts to limit the scope of disclosure so required.  If a protective order or other remedy is not obtained, the disclosing party shall furnish only such portion or portions of the Confidential Information as it is legally required to furnish.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(d)</w:t>
        <w:tab/>
        <w:t>The obligations of the parties under this Section 17 shall survive the expiration or termination of this Guarantee for a period of eighteen (18) Months.</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w:t>
        <w:tab/>
      </w:r>
      <w:r>
        <w:rPr>
          <w:u w:val="single"/>
        </w:rPr>
        <w:t>Article and Section Headings</w:t>
      </w:r>
      <w:r>
        <w:rPr/>
        <w:t>.  The article and section headings in this Guarantee are for convenience of reference only and shall not affect in any way the meaning or interpretation of this Guarantee.</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w:t>
        <w:tab/>
      </w:r>
      <w:r>
        <w:rPr>
          <w:u w:val="single"/>
        </w:rPr>
        <w:t>Preparation</w:t>
      </w:r>
      <w:r>
        <w:rPr/>
        <w:t>.  This Guarantee was negotiated and prepared by both parties with advice of counsel to the extent deemed necessary by each party, and was not prepared by any party to the exclusion of the other and, accordingly, should not be construed against either party by reason of its preparation.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20.</w:t>
      </w:r>
      <w:r>
        <w:rPr>
          <w:u w:val="single"/>
        </w:rPr>
        <w:tab/>
        <w:t>Entire Agreement</w:t>
      </w:r>
      <w:r>
        <w:rPr/>
        <w:t>. This Guarantee constitutes a complete and exclusive statement of the terms and conditions of the agreement between the parties relating to the subject matter hereof, and supersedes and replaces any and all prior negotiations, understandings and agreements, whether oral or written, between the Parties with respect thereto. Except as expressly provided in this Guarantee, no term, condition, usage of trade, course of dealing or performance, understanding or agreement purporting to modify, vary, explain or supplement the provisions of this Agreement shall be effective or binding upon the parties unless the same hereafter is effected in accordance with this Guarantee.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21.</w:t>
        <w:tab/>
      </w:r>
      <w:r>
        <w:rPr>
          <w:u w:val="single"/>
        </w:rPr>
        <w:t>Severability</w:t>
      </w:r>
      <w:r>
        <w:rPr/>
        <w:t>.  If an arbitration panel or court of competent jurisdiction declares that any provision of this Guarantee is illegal, invalid or unenforceable, then such provision shall be severed from this Guarantee, and this Guarantee and the rights and obligations of the parties hereto shall be construed as if this Guarantee did not contain such severed provision, and this Guarantee otherwise shall remain in full force and effect.</w:t>
      </w:r>
      <w:r>
        <w:br w:type="page"/>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IN WITNESS WHEREOF, this Guarantee has been duly executed by Guarantor and Buyer as of the ________ day of ___________, 2000.</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920" w:end="0"/>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920" w:end="0"/>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920" w:end="0"/>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920" w:end="0"/>
        <w:rPr/>
      </w:pPr>
      <w:r>
        <w:rPr/>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880" w:end="0"/>
        <w:outlineLvl w:val="0"/>
        <w:rPr/>
      </w:pPr>
      <w:r>
        <w:rPr/>
        <w:t>PETROLEOS DE VENEZUELA, S.A.</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t>By:</w:t>
        <w:tab/>
        <w:t>_____________________________ (signature)</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t>Name:</w:t>
        <w:tab/>
        <w:t>_____________________________ (name)</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t>Title:</w:t>
        <w:tab/>
        <w:t>_____________________________</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Acknowledged and Accepted:</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numPr>
          <w:ilvl w:val="0"/>
          <w:numId w:val="0"/>
        </w:numPr>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880" w:end="0"/>
        <w:outlineLvl w:val="0"/>
        <w:rPr/>
      </w:pPr>
      <w:r>
        <w:rPr/>
        <w:t xml:space="preserve">[                                                    ] </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t>By:</w:t>
        <w:tab/>
        <w:t>_____________________________ (signature)</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t>Name:</w:t>
        <w:tab/>
        <w:t>_____________________________ (name)</w:t>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t>Title:</w:t>
        <w:tab/>
        <w:t>_____________________________</w:t>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Houston-104126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Houston-104126 v3</w:t>
                    </w:r>
                    <w:r>
                      <w:rPr/>
                      <w:fldChar w:fldCharType="end"/>
                    </w:r>
                  </w:p>
                </w:txbxContent>
              </v:textbox>
              <w10:wrap type="none"/>
            </v:rect>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FooterB"/>
      <w:rPr/>
    </w:pPr>
    <w:r>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212715" cy="175260"/>
              <wp:effectExtent l="0" t="0" r="0" b="0"/>
              <wp:wrapTopAndBottom/>
              <wp:docPr id="2" name="Frame3"/>
              <a:graphic xmlns:a="http://schemas.openxmlformats.org/drawingml/2006/main">
                <a:graphicData uri="http://schemas.microsoft.com/office/word/2010/wordprocessingShape">
                  <wps:wsp>
                    <wps:cNvSpPr txBox="1"/>
                    <wps:spPr>
                      <a:xfrm>
                        <a:off x="0" y="0"/>
                        <a:ext cx="5212715" cy="175260"/>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11</w:t>
                          </w:r>
                          <w:r>
                            <w:rPr/>
                            <w:fldChar w:fldCharType="end"/>
                          </w:r>
                        </w:p>
                      </w:txbxContent>
                    </wps:txbx>
                    <wps:bodyPr anchor="t" lIns="0" tIns="0" rIns="0" bIns="0">
                      <a:noAutofit/>
                    </wps:bodyPr>
                  </wps:wsp>
                </a:graphicData>
              </a:graphic>
            </wp:anchor>
          </w:drawing>
        </mc:Choice>
        <mc:Fallback>
          <w:pict>
            <v:rect fillcolor="#FFFFFF" style="position:absolute;rotation:-0;width:410.45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11</w:t>
                    </w:r>
                    <w:r>
                      <w:rPr/>
                      <w:fldChar w:fldCharType="end"/>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widowControl/>
      <w:tabs>
        <w:tab w:val="left" w:pos="-1440" w:leader="none"/>
        <w:tab w:val="left" w:pos="-720" w:leader="none"/>
        <w:tab w:val="left" w:pos="0" w:leader="none"/>
        <w:tab w:val="left" w:pos="72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outlineLvl w:val="0"/>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208" w:leader="none"/>
      </w:tabs>
    </w:pPr>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FooterB">
    <w:name w:val="Footer B"/>
    <w:basedOn w:val="Footer"/>
    <w:qFormat/>
    <w:pPr>
      <w:widowControl/>
      <w:tabs>
        <w:tab w:val="clear" w:pos="0"/>
        <w:tab w:val="clear" w:pos="8208"/>
        <w:tab w:val="center" w:pos="4320" w:leader="none"/>
        <w:tab w:val="left" w:pos="8640" w:leader="none"/>
      </w:tabs>
      <w:ind w:firstLine="720" w:start="0" w:end="0"/>
    </w:pPr>
    <w:rPr>
      <w:sz w:val="15"/>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2000-03-24T19:43:00Z</dcterms:created>
  <dc:creator>King &amp; Spalding</dc:creator>
  <dc:description>Houston-104126 v3</dc:description>
  <dc:language>en-CA</dc:language>
  <cp:lastModifiedBy>King &amp; Spalding</cp:lastModifiedBy>
  <cp:lastPrinted>2000-03-16T15:28:00Z</cp:lastPrinted>
  <dcterms:modified xsi:type="dcterms:W3CDTF">2000-03-24T19:43:00Z</dcterms:modified>
  <cp:revision>3</cp:revision>
  <dc:subject/>
  <dc:title>METHANE GAS SUPPLY GUARANTEE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08-Nov-1999</vt:lpwstr>
  </property>
  <property fmtid="{D5CDD505-2E9C-101B-9397-08002B2CF9AE}" pid="3" name="Converted State">
    <vt:lpwstr>True</vt:lpwstr>
  </property>
  <property fmtid="{D5CDD505-2E9C-101B-9397-08002B2CF9AE}" pid="4" name="Original File">
    <vt:lpwstr>C:\TEMP\27896_1.doc</vt:lpwstr>
  </property>
</Properties>
</file>