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240" w:leader="none"/>
          <w:tab w:val="left" w:pos="480" w:leader="none"/>
          <w:tab w:val="left" w:pos="1200" w:leader="none"/>
          <w:tab w:val="left" w:pos="1920" w:leader="none"/>
          <w:tab w:val="left" w:pos="2640" w:leader="none"/>
          <w:tab w:val="left" w:pos="3360" w:leader="none"/>
          <w:tab w:val="left" w:pos="4080" w:leader="none"/>
          <w:tab w:val="left" w:pos="4800" w:leader="none"/>
          <w:tab w:val="left" w:pos="5520" w:leader="none"/>
          <w:tab w:val="left" w:pos="6240" w:leader="none"/>
          <w:tab w:val="left" w:pos="6960" w:leader="none"/>
          <w:tab w:val="left" w:pos="7680" w:leader="none"/>
          <w:tab w:val="left" w:pos="8400" w:leader="none"/>
          <w:tab w:val="left" w:pos="9120" w:leader="none"/>
          <w:tab w:val="left" w:pos="9840" w:leader="none"/>
          <w:tab w:val="left" w:pos="10560" w:leader="none"/>
          <w:tab w:val="left" w:pos="11280" w:leader="none"/>
          <w:tab w:val="left" w:pos="12000" w:leader="none"/>
          <w:tab w:val="left" w:pos="12720" w:leader="none"/>
          <w:tab w:val="left" w:pos="13440" w:leader="none"/>
          <w:tab w:val="left" w:pos="14160" w:leader="none"/>
          <w:tab w:val="left" w:pos="14880" w:leader="none"/>
          <w:tab w:val="left" w:pos="15600" w:leader="none"/>
          <w:tab w:val="left" w:pos="16320" w:leader="none"/>
        </w:tabs>
        <w:ind w:start="480" w:end="480"/>
        <w:jc w:val="both"/>
        <w:rPr>
          <w:b/>
          <w:sz w:val="12"/>
        </w:rPr>
      </w:pPr>
      <w:r>
        <w:rPr>
          <w:b/>
          <w:sz w:val="12"/>
        </w:rPr>
      </w:r>
    </w:p>
    <w:p>
      <w:pPr>
        <w:pStyle w:val="Heading"/>
        <w:widowControl/>
        <w:rPr>
          <w:sz w:val="20"/>
        </w:rPr>
      </w:pPr>
      <w:r>
        <w:rPr>
          <w:sz w:val="20"/>
        </w:rPr>
        <w:drawing>
          <wp:inline distT="0" distB="0" distL="0" distR="0">
            <wp:extent cx="920750" cy="91440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4" t="-35" r="-34" b="-35"/>
                    <a:stretch>
                      <a:fillRect/>
                    </a:stretch>
                  </pic:blipFill>
                  <pic:spPr bwMode="auto">
                    <a:xfrm>
                      <a:off x="0" y="0"/>
                      <a:ext cx="920750" cy="914400"/>
                    </a:xfrm>
                    <a:prstGeom prst="rect">
                      <a:avLst/>
                    </a:prstGeom>
                    <a:noFill/>
                  </pic:spPr>
                </pic:pic>
              </a:graphicData>
            </a:graphic>
          </wp:inline>
        </w:drawing>
      </w:r>
    </w:p>
    <w:p>
      <w:pPr>
        <w:pStyle w:val="Heading"/>
        <w:widowControl/>
        <w:rPr/>
      </w:pPr>
      <w:r>
        <w:rPr/>
        <w:tab/>
      </w:r>
    </w:p>
    <w:tbl>
      <w:tblPr>
        <w:tblW w:w="10708" w:type="dxa"/>
        <w:jc w:val="start"/>
        <w:tblInd w:w="200" w:type="dxa"/>
        <w:tblLayout w:type="fixed"/>
        <w:tblCellMar>
          <w:top w:w="0" w:type="dxa"/>
          <w:start w:w="108" w:type="dxa"/>
          <w:bottom w:w="0" w:type="dxa"/>
          <w:end w:w="108" w:type="dxa"/>
        </w:tblCellMar>
      </w:tblPr>
      <w:tblGrid>
        <w:gridCol w:w="708"/>
        <w:gridCol w:w="6045"/>
        <w:gridCol w:w="990"/>
        <w:gridCol w:w="2965"/>
      </w:tblGrid>
      <w:tr>
        <w:trPr>
          <w:trHeight w:val="300" w:hRule="exact"/>
        </w:trPr>
        <w:tc>
          <w:tcPr>
            <w:tcW w:w="708" w:type="dxa"/>
            <w:tcBorders/>
          </w:tcPr>
          <w:p>
            <w:pPr>
              <w:pStyle w:val="Normal"/>
              <w:ind w:start="-180" w:end="0"/>
              <w:jc w:val="end"/>
              <w:rPr>
                <w:sz w:val="16"/>
              </w:rPr>
            </w:pPr>
            <w:r>
              <w:rPr>
                <w:sz w:val="16"/>
              </w:rPr>
              <w:t>To:</w:t>
            </w:r>
          </w:p>
        </w:tc>
        <w:tc>
          <w:tcPr>
            <w:tcW w:w="6045" w:type="dxa"/>
            <w:tcBorders/>
          </w:tcPr>
          <w:p>
            <w:pPr>
              <w:pStyle w:val="To"/>
              <w:widowControl/>
              <w:rPr/>
            </w:pPr>
            <w:bookmarkStart w:id="0" w:name="to"/>
            <w:bookmarkEnd w:id="0"/>
            <w:r>
              <w:rPr/>
              <w:t>Keith Petersen</w:t>
            </w:r>
          </w:p>
        </w:tc>
        <w:tc>
          <w:tcPr>
            <w:tcW w:w="990" w:type="dxa"/>
            <w:tcBorders/>
          </w:tcPr>
          <w:p>
            <w:pPr>
              <w:pStyle w:val="Normal"/>
              <w:snapToGrid w:val="false"/>
              <w:ind w:start="-180" w:end="0"/>
              <w:rPr/>
            </w:pPr>
            <w:r>
              <w:rPr/>
            </w:r>
          </w:p>
        </w:tc>
        <w:tc>
          <w:tcPr>
            <w:tcW w:w="2965" w:type="dxa"/>
            <w:tcBorders/>
          </w:tcPr>
          <w:p>
            <w:pPr>
              <w:pStyle w:val="Normal"/>
              <w:snapToGrid w:val="false"/>
              <w:rPr/>
            </w:pPr>
            <w:r>
              <w:rPr/>
            </w:r>
          </w:p>
        </w:tc>
      </w:tr>
      <w:tr>
        <w:trPr>
          <w:trHeight w:val="216" w:hRule="exact"/>
        </w:trPr>
        <w:tc>
          <w:tcPr>
            <w:tcW w:w="708" w:type="dxa"/>
            <w:tcBorders/>
          </w:tcPr>
          <w:p>
            <w:pPr>
              <w:pStyle w:val="Normal"/>
              <w:snapToGrid w:val="false"/>
              <w:ind w:start="-180" w:end="0"/>
              <w:jc w:val="end"/>
              <w:rPr>
                <w:sz w:val="18"/>
              </w:rPr>
            </w:pPr>
            <w:r>
              <w:rPr>
                <w:sz w:val="18"/>
              </w:rPr>
            </w:r>
          </w:p>
        </w:tc>
        <w:tc>
          <w:tcPr>
            <w:tcW w:w="6045" w:type="dxa"/>
            <w:tcBorders/>
          </w:tcPr>
          <w:p>
            <w:pPr>
              <w:pStyle w:val="Normal"/>
              <w:snapToGrid w:val="false"/>
              <w:rPr>
                <w:sz w:val="18"/>
              </w:rPr>
            </w:pPr>
            <w:r>
              <w:rPr>
                <w:sz w:val="18"/>
              </w:rPr>
            </w:r>
          </w:p>
        </w:tc>
        <w:tc>
          <w:tcPr>
            <w:tcW w:w="990" w:type="dxa"/>
            <w:tcBorders/>
          </w:tcPr>
          <w:p>
            <w:pPr>
              <w:pStyle w:val="Normal"/>
              <w:snapToGrid w:val="false"/>
              <w:ind w:start="-180" w:end="0"/>
              <w:rPr>
                <w:sz w:val="18"/>
              </w:rPr>
            </w:pPr>
            <w:r>
              <w:rPr>
                <w:sz w:val="18"/>
              </w:rPr>
            </w:r>
          </w:p>
        </w:tc>
        <w:tc>
          <w:tcPr>
            <w:tcW w:w="2965" w:type="dxa"/>
            <w:tcBorders/>
          </w:tcPr>
          <w:p>
            <w:pPr>
              <w:pStyle w:val="Normal"/>
              <w:snapToGrid w:val="false"/>
              <w:rPr>
                <w:sz w:val="18"/>
              </w:rPr>
            </w:pPr>
            <w:r>
              <w:rPr>
                <w:sz w:val="18"/>
              </w:rPr>
            </w:r>
          </w:p>
        </w:tc>
      </w:tr>
      <w:tr>
        <w:trPr>
          <w:trHeight w:val="300" w:hRule="exact"/>
        </w:trPr>
        <w:tc>
          <w:tcPr>
            <w:tcW w:w="708" w:type="dxa"/>
            <w:tcBorders/>
          </w:tcPr>
          <w:p>
            <w:pPr>
              <w:pStyle w:val="Normal"/>
              <w:ind w:start="-180" w:end="0"/>
              <w:jc w:val="end"/>
              <w:rPr>
                <w:sz w:val="16"/>
              </w:rPr>
            </w:pPr>
            <w:r>
              <w:rPr>
                <w:sz w:val="16"/>
              </w:rPr>
              <w:t>From:</w:t>
            </w:r>
          </w:p>
        </w:tc>
        <w:tc>
          <w:tcPr>
            <w:tcW w:w="6045" w:type="dxa"/>
            <w:tcBorders/>
          </w:tcPr>
          <w:p>
            <w:pPr>
              <w:pStyle w:val="From"/>
              <w:widowControl/>
              <w:rPr/>
            </w:pPr>
            <w:r>
              <w:rPr/>
              <w:t>Josie Call</w:t>
            </w:r>
          </w:p>
        </w:tc>
        <w:tc>
          <w:tcPr>
            <w:tcW w:w="990" w:type="dxa"/>
            <w:tcBorders/>
          </w:tcPr>
          <w:p>
            <w:pPr>
              <w:pStyle w:val="Normal"/>
              <w:ind w:start="-180" w:end="0"/>
              <w:jc w:val="end"/>
              <w:rPr>
                <w:sz w:val="16"/>
              </w:rPr>
            </w:pPr>
            <w:r>
              <w:rPr>
                <w:sz w:val="16"/>
              </w:rPr>
              <w:t>Department:</w:t>
            </w:r>
          </w:p>
        </w:tc>
        <w:tc>
          <w:tcPr>
            <w:tcW w:w="2965" w:type="dxa"/>
            <w:tcBorders/>
          </w:tcPr>
          <w:p>
            <w:pPr>
              <w:pStyle w:val="Department"/>
              <w:widowControl/>
              <w:rPr/>
            </w:pPr>
            <w:bookmarkStart w:id="1" w:name="From"/>
            <w:bookmarkEnd w:id="1"/>
            <w:r>
              <w:rPr/>
              <w:t>Certificates &amp; Reporting</w:t>
            </w:r>
          </w:p>
        </w:tc>
      </w:tr>
      <w:tr>
        <w:trPr>
          <w:trHeight w:val="216" w:hRule="exact"/>
        </w:trPr>
        <w:tc>
          <w:tcPr>
            <w:tcW w:w="708" w:type="dxa"/>
            <w:tcBorders/>
          </w:tcPr>
          <w:p>
            <w:pPr>
              <w:pStyle w:val="Normal"/>
              <w:snapToGrid w:val="false"/>
              <w:ind w:start="-180" w:end="0"/>
              <w:jc w:val="end"/>
              <w:rPr>
                <w:sz w:val="18"/>
              </w:rPr>
            </w:pPr>
            <w:r>
              <w:rPr>
                <w:sz w:val="18"/>
              </w:rPr>
            </w:r>
          </w:p>
        </w:tc>
        <w:tc>
          <w:tcPr>
            <w:tcW w:w="6045" w:type="dxa"/>
            <w:tcBorders/>
          </w:tcPr>
          <w:p>
            <w:pPr>
              <w:pStyle w:val="Normal"/>
              <w:snapToGrid w:val="false"/>
              <w:rPr>
                <w:sz w:val="18"/>
              </w:rPr>
            </w:pPr>
            <w:r>
              <w:rPr>
                <w:sz w:val="18"/>
              </w:rPr>
            </w:r>
          </w:p>
        </w:tc>
        <w:tc>
          <w:tcPr>
            <w:tcW w:w="990" w:type="dxa"/>
            <w:tcBorders/>
          </w:tcPr>
          <w:p>
            <w:pPr>
              <w:pStyle w:val="Normal"/>
              <w:snapToGrid w:val="false"/>
              <w:ind w:start="-180" w:end="0"/>
              <w:rPr>
                <w:sz w:val="18"/>
              </w:rPr>
            </w:pPr>
            <w:r>
              <w:rPr>
                <w:sz w:val="18"/>
              </w:rPr>
            </w:r>
          </w:p>
        </w:tc>
        <w:tc>
          <w:tcPr>
            <w:tcW w:w="2965" w:type="dxa"/>
            <w:tcBorders/>
          </w:tcPr>
          <w:p>
            <w:pPr>
              <w:pStyle w:val="Normal"/>
              <w:snapToGrid w:val="false"/>
              <w:rPr>
                <w:sz w:val="18"/>
              </w:rPr>
            </w:pPr>
            <w:r>
              <w:rPr>
                <w:sz w:val="18"/>
              </w:rPr>
            </w:r>
          </w:p>
        </w:tc>
      </w:tr>
      <w:tr>
        <w:trPr>
          <w:trHeight w:val="600" w:hRule="exact"/>
        </w:trPr>
        <w:tc>
          <w:tcPr>
            <w:tcW w:w="708" w:type="dxa"/>
            <w:tcBorders>
              <w:bottom w:val="single" w:sz="18" w:space="0" w:color="000000"/>
            </w:tcBorders>
          </w:tcPr>
          <w:p>
            <w:pPr>
              <w:pStyle w:val="Normal"/>
              <w:ind w:start="-180" w:end="0"/>
              <w:jc w:val="end"/>
              <w:rPr>
                <w:sz w:val="16"/>
              </w:rPr>
            </w:pPr>
            <w:r>
              <w:rPr>
                <w:sz w:val="16"/>
              </w:rPr>
              <w:t>Subject:</w:t>
            </w:r>
          </w:p>
        </w:tc>
        <w:tc>
          <w:tcPr>
            <w:tcW w:w="6045" w:type="dxa"/>
            <w:tcBorders>
              <w:bottom w:val="single" w:sz="18" w:space="0" w:color="000000"/>
            </w:tcBorders>
          </w:tcPr>
          <w:p>
            <w:pPr>
              <w:pStyle w:val="Subject"/>
              <w:widowControl/>
              <w:rPr/>
            </w:pPr>
            <w:bookmarkStart w:id="2" w:name="Subject"/>
            <w:bookmarkEnd w:id="2"/>
            <w:r>
              <w:rPr/>
              <w:t>Certificate Status Report</w:t>
            </w:r>
          </w:p>
        </w:tc>
        <w:tc>
          <w:tcPr>
            <w:tcW w:w="990" w:type="dxa"/>
            <w:tcBorders>
              <w:bottom w:val="single" w:sz="18" w:space="0" w:color="000000"/>
            </w:tcBorders>
          </w:tcPr>
          <w:p>
            <w:pPr>
              <w:pStyle w:val="Normal"/>
              <w:ind w:start="-180" w:end="0"/>
              <w:jc w:val="end"/>
              <w:rPr>
                <w:sz w:val="16"/>
              </w:rPr>
            </w:pPr>
            <w:r>
              <w:rPr>
                <w:sz w:val="16"/>
              </w:rPr>
              <w:t>Date:</w:t>
            </w:r>
          </w:p>
        </w:tc>
        <w:tc>
          <w:tcPr>
            <w:tcW w:w="2965" w:type="dxa"/>
            <w:tcBorders>
              <w:bottom w:val="single" w:sz="18" w:space="0" w:color="000000"/>
            </w:tcBorders>
          </w:tcPr>
          <w:p>
            <w:pPr>
              <w:pStyle w:val="Date"/>
              <w:widowControl/>
              <w:rPr/>
            </w:pPr>
            <w:r>
              <w:rPr/>
              <w:t>March 2, 2001</w:t>
            </w:r>
          </w:p>
        </w:tc>
      </w:tr>
    </w:tbl>
    <w:p>
      <w:pPr>
        <w:pStyle w:val="Normal"/>
        <w:pBdr>
          <w:top w:val="double" w:sz="6" w:space="1" w:color="000000"/>
        </w:pBdr>
        <w:tabs>
          <w:tab w:val="clear" w:pos="720"/>
          <w:tab w:val="left" w:pos="-240" w:leader="none"/>
          <w:tab w:val="left" w:pos="480" w:leader="none"/>
          <w:tab w:val="left" w:pos="1200" w:leader="none"/>
          <w:tab w:val="left" w:pos="1920" w:leader="none"/>
          <w:tab w:val="left" w:pos="2640" w:leader="none"/>
          <w:tab w:val="left" w:pos="3360" w:leader="none"/>
          <w:tab w:val="left" w:pos="4080" w:leader="none"/>
          <w:tab w:val="left" w:pos="4800" w:leader="none"/>
          <w:tab w:val="left" w:pos="5520" w:leader="none"/>
          <w:tab w:val="left" w:pos="6240" w:leader="none"/>
          <w:tab w:val="left" w:pos="6960" w:leader="none"/>
          <w:tab w:val="left" w:pos="7680" w:leader="none"/>
          <w:tab w:val="left" w:pos="8400" w:leader="none"/>
          <w:tab w:val="left" w:pos="9120" w:leader="none"/>
          <w:tab w:val="left" w:pos="9840" w:leader="none"/>
          <w:tab w:val="left" w:pos="10560" w:leader="none"/>
          <w:tab w:val="left" w:pos="11280" w:leader="none"/>
          <w:tab w:val="left" w:pos="12000" w:leader="none"/>
          <w:tab w:val="left" w:pos="12720" w:leader="none"/>
          <w:tab w:val="left" w:pos="13440" w:leader="none"/>
          <w:tab w:val="left" w:pos="14160" w:leader="none"/>
          <w:tab w:val="left" w:pos="14880" w:leader="none"/>
          <w:tab w:val="left" w:pos="15600" w:leader="none"/>
          <w:tab w:val="left" w:pos="16320" w:leader="none"/>
        </w:tabs>
        <w:ind w:start="480" w:end="480"/>
        <w:jc w:val="both"/>
        <w:rPr>
          <w:sz w:val="22"/>
        </w:rPr>
      </w:pPr>
      <w:r>
        <w:rPr>
          <w:sz w:val="22"/>
        </w:rPr>
      </w:r>
    </w:p>
    <w:p>
      <w:pPr>
        <w:pStyle w:val="Normal"/>
        <w:tabs>
          <w:tab w:val="clear" w:pos="720"/>
          <w:tab w:val="left" w:pos="-240" w:leader="none"/>
          <w:tab w:val="left" w:pos="480" w:leader="none"/>
          <w:tab w:val="left" w:pos="1200" w:leader="none"/>
          <w:tab w:val="left" w:pos="1920" w:leader="none"/>
          <w:tab w:val="left" w:pos="2640" w:leader="none"/>
          <w:tab w:val="left" w:pos="3360" w:leader="none"/>
          <w:tab w:val="left" w:pos="4080" w:leader="none"/>
          <w:tab w:val="left" w:pos="4800" w:leader="none"/>
          <w:tab w:val="left" w:pos="5520" w:leader="none"/>
          <w:tab w:val="left" w:pos="6240" w:leader="none"/>
          <w:tab w:val="left" w:pos="6960" w:leader="none"/>
          <w:tab w:val="left" w:pos="7680" w:leader="none"/>
          <w:tab w:val="left" w:pos="8400" w:leader="none"/>
          <w:tab w:val="left" w:pos="9120" w:leader="none"/>
          <w:tab w:val="left" w:pos="9840" w:leader="none"/>
          <w:tab w:val="left" w:pos="10560" w:leader="none"/>
          <w:tab w:val="left" w:pos="11280" w:leader="none"/>
          <w:tab w:val="left" w:pos="12000" w:leader="none"/>
          <w:tab w:val="left" w:pos="12720" w:leader="none"/>
          <w:tab w:val="left" w:pos="13440" w:leader="none"/>
          <w:tab w:val="left" w:pos="14160" w:leader="none"/>
          <w:tab w:val="left" w:pos="14880" w:leader="none"/>
          <w:tab w:val="left" w:pos="15600" w:leader="none"/>
          <w:tab w:val="left" w:pos="16320" w:leader="none"/>
        </w:tabs>
        <w:ind w:start="480" w:end="480"/>
        <w:jc w:val="both"/>
        <w:rPr/>
      </w:pPr>
      <w:r>
        <w:rPr>
          <w:sz w:val="22"/>
        </w:rPr>
        <w:t>Northern currently has</w:t>
      </w:r>
      <w:r>
        <w:rPr>
          <w:b/>
          <w:sz w:val="22"/>
        </w:rPr>
        <w:t xml:space="preserve"> five (5) </w:t>
      </w:r>
      <w:r>
        <w:rPr>
          <w:sz w:val="22"/>
        </w:rPr>
        <w:t xml:space="preserve">project(s) and Transwestern has </w:t>
      </w:r>
      <w:r>
        <w:rPr>
          <w:b/>
          <w:sz w:val="22"/>
        </w:rPr>
        <w:t>one (1)</w:t>
      </w:r>
      <w:r>
        <w:rPr>
          <w:sz w:val="22"/>
        </w:rPr>
        <w:t xml:space="preserve"> project(s) to be filed.  Certain of these projects require action by other groups before the Certificates &amp; Reporting department can proceed with the FERC filings.  </w:t>
      </w:r>
      <w:r>
        <w:rPr>
          <w:b/>
          <w:sz w:val="22"/>
        </w:rPr>
        <w:t>Updates on existing projects, which have occurred since the last report on February 12, 2001, are in bold print</w:t>
      </w:r>
      <w:r>
        <w:rPr>
          <w:sz w:val="22"/>
        </w:rPr>
        <w:t xml:space="preserve">.  Projects are more fully described in the following attachment. </w:t>
      </w:r>
    </w:p>
    <w:p>
      <w:pPr>
        <w:pStyle w:val="Normal"/>
        <w:tabs>
          <w:tab w:val="clear" w:pos="720"/>
          <w:tab w:val="left" w:pos="-240" w:leader="none"/>
          <w:tab w:val="left" w:pos="480" w:leader="none"/>
          <w:tab w:val="left" w:pos="1200" w:leader="none"/>
          <w:tab w:val="left" w:pos="1920" w:leader="none"/>
          <w:tab w:val="left" w:pos="2640" w:leader="none"/>
          <w:tab w:val="left" w:pos="3360" w:leader="none"/>
          <w:tab w:val="left" w:pos="4080" w:leader="none"/>
          <w:tab w:val="left" w:pos="4800" w:leader="none"/>
          <w:tab w:val="left" w:pos="5520" w:leader="none"/>
          <w:tab w:val="left" w:pos="6240" w:leader="none"/>
          <w:tab w:val="left" w:pos="6960" w:leader="none"/>
          <w:tab w:val="left" w:pos="7680" w:leader="none"/>
          <w:tab w:val="left" w:pos="8400" w:leader="none"/>
          <w:tab w:val="left" w:pos="9120" w:leader="none"/>
          <w:tab w:val="left" w:pos="9840" w:leader="none"/>
          <w:tab w:val="left" w:pos="10560" w:leader="none"/>
          <w:tab w:val="left" w:pos="11280" w:leader="none"/>
          <w:tab w:val="left" w:pos="12000" w:leader="none"/>
          <w:tab w:val="left" w:pos="12720" w:leader="none"/>
          <w:tab w:val="left" w:pos="13440" w:leader="none"/>
          <w:tab w:val="left" w:pos="14160" w:leader="none"/>
          <w:tab w:val="left" w:pos="14880" w:leader="none"/>
          <w:tab w:val="left" w:pos="15600" w:leader="none"/>
          <w:tab w:val="left" w:pos="16320" w:leader="none"/>
        </w:tabs>
        <w:ind w:start="480" w:end="480"/>
        <w:jc w:val="both"/>
        <w:rPr>
          <w:sz w:val="22"/>
        </w:rPr>
      </w:pPr>
      <w:r>
        <w:rPr>
          <w:sz w:val="22"/>
        </w:rPr>
      </w:r>
    </w:p>
    <w:p>
      <w:pPr>
        <w:pStyle w:val="BlockText"/>
        <w:rPr/>
      </w:pPr>
      <w:r>
        <w:rPr/>
        <w:t>To the extent you are aware of a project that is not referenced, please feel free to call me at extension 7258 in Omaha.</w:t>
      </w:r>
    </w:p>
    <w:p>
      <w:pPr>
        <w:pStyle w:val="Normal"/>
        <w:tabs>
          <w:tab w:val="clear" w:pos="720"/>
          <w:tab w:val="left" w:pos="-240" w:leader="none"/>
          <w:tab w:val="left" w:pos="480" w:leader="none"/>
          <w:tab w:val="left" w:pos="1200" w:leader="none"/>
          <w:tab w:val="left" w:pos="1920" w:leader="none"/>
          <w:tab w:val="left" w:pos="2640" w:leader="none"/>
          <w:tab w:val="left" w:pos="3360" w:leader="none"/>
          <w:tab w:val="left" w:pos="4080" w:leader="none"/>
          <w:tab w:val="left" w:pos="4800" w:leader="none"/>
          <w:tab w:val="left" w:pos="5520" w:leader="none"/>
          <w:tab w:val="left" w:pos="6240" w:leader="none"/>
          <w:tab w:val="left" w:pos="6960" w:leader="none"/>
          <w:tab w:val="left" w:pos="7680" w:leader="none"/>
          <w:tab w:val="left" w:pos="8400" w:leader="none"/>
          <w:tab w:val="left" w:pos="9120" w:leader="none"/>
          <w:tab w:val="left" w:pos="9840" w:leader="none"/>
          <w:tab w:val="left" w:pos="10560" w:leader="none"/>
          <w:tab w:val="left" w:pos="11280" w:leader="none"/>
          <w:tab w:val="left" w:pos="12000" w:leader="none"/>
          <w:tab w:val="left" w:pos="12720" w:leader="none"/>
          <w:tab w:val="left" w:pos="13440" w:leader="none"/>
          <w:tab w:val="left" w:pos="14160" w:leader="none"/>
          <w:tab w:val="left" w:pos="14880" w:leader="none"/>
          <w:tab w:val="left" w:pos="15600" w:leader="none"/>
          <w:tab w:val="left" w:pos="16320" w:leader="none"/>
        </w:tabs>
        <w:ind w:start="480" w:end="480"/>
        <w:jc w:val="both"/>
        <w:rPr>
          <w:b/>
          <w:sz w:val="19"/>
        </w:rPr>
      </w:pPr>
      <w:r>
        <w:rPr>
          <w:b/>
          <w:sz w:val="19"/>
        </w:rPr>
      </w:r>
    </w:p>
    <w:p>
      <w:pPr>
        <w:pStyle w:val="Normal"/>
        <w:tabs>
          <w:tab w:val="clear" w:pos="720"/>
          <w:tab w:val="left" w:pos="-240" w:leader="none"/>
          <w:tab w:val="left" w:pos="480" w:leader="none"/>
          <w:tab w:val="left" w:pos="1200" w:leader="none"/>
          <w:tab w:val="left" w:pos="1920" w:leader="none"/>
          <w:tab w:val="left" w:pos="2640" w:leader="none"/>
          <w:tab w:val="left" w:pos="3360" w:leader="none"/>
          <w:tab w:val="left" w:pos="4080" w:leader="none"/>
          <w:tab w:val="left" w:pos="4800" w:leader="none"/>
          <w:tab w:val="left" w:pos="5520" w:leader="none"/>
          <w:tab w:val="left" w:pos="6240" w:leader="none"/>
          <w:tab w:val="left" w:pos="6960" w:leader="none"/>
          <w:tab w:val="left" w:pos="7680" w:leader="none"/>
          <w:tab w:val="left" w:pos="8400" w:leader="none"/>
          <w:tab w:val="left" w:pos="9120" w:leader="none"/>
          <w:tab w:val="left" w:pos="9840" w:leader="none"/>
          <w:tab w:val="left" w:pos="10560" w:leader="none"/>
          <w:tab w:val="left" w:pos="11280" w:leader="none"/>
          <w:tab w:val="left" w:pos="12000" w:leader="none"/>
          <w:tab w:val="left" w:pos="12720" w:leader="none"/>
          <w:tab w:val="left" w:pos="13440" w:leader="none"/>
          <w:tab w:val="left" w:pos="14160" w:leader="none"/>
          <w:tab w:val="left" w:pos="14880" w:leader="none"/>
          <w:tab w:val="left" w:pos="15600" w:leader="none"/>
          <w:tab w:val="left" w:pos="16320" w:leader="none"/>
        </w:tabs>
        <w:ind w:start="480" w:end="480"/>
        <w:jc w:val="both"/>
        <w:rPr>
          <w:b/>
          <w:sz w:val="17"/>
        </w:rPr>
      </w:pPr>
      <w:r>
        <w:rPr>
          <w:b/>
          <w:sz w:val="17"/>
        </w:rPr>
        <w:t>Distribution:</w:t>
      </w:r>
    </w:p>
    <w:p>
      <w:pPr>
        <w:pStyle w:val="Normal"/>
        <w:tabs>
          <w:tab w:val="clear" w:pos="720"/>
          <w:tab w:val="left" w:pos="-240" w:leader="none"/>
          <w:tab w:val="left" w:pos="480" w:leader="none"/>
          <w:tab w:val="left" w:pos="1200" w:leader="none"/>
          <w:tab w:val="left" w:pos="1920" w:leader="none"/>
          <w:tab w:val="left" w:pos="2640" w:leader="none"/>
          <w:tab w:val="left" w:pos="3360" w:leader="none"/>
          <w:tab w:val="left" w:pos="4080" w:leader="none"/>
          <w:tab w:val="left" w:pos="4800" w:leader="none"/>
          <w:tab w:val="left" w:pos="5520" w:leader="none"/>
          <w:tab w:val="left" w:pos="6240" w:leader="none"/>
          <w:tab w:val="left" w:pos="6960" w:leader="none"/>
          <w:tab w:val="left" w:pos="7680" w:leader="none"/>
          <w:tab w:val="left" w:pos="8400" w:leader="none"/>
          <w:tab w:val="left" w:pos="9120" w:leader="none"/>
          <w:tab w:val="left" w:pos="9840" w:leader="none"/>
          <w:tab w:val="left" w:pos="10560" w:leader="none"/>
          <w:tab w:val="left" w:pos="11280" w:leader="none"/>
          <w:tab w:val="left" w:pos="12000" w:leader="none"/>
          <w:tab w:val="left" w:pos="12720" w:leader="none"/>
          <w:tab w:val="left" w:pos="13440" w:leader="none"/>
          <w:tab w:val="left" w:pos="14160" w:leader="none"/>
          <w:tab w:val="left" w:pos="14880" w:leader="none"/>
          <w:tab w:val="left" w:pos="15600" w:leader="none"/>
          <w:tab w:val="left" w:pos="16320" w:leader="none"/>
        </w:tabs>
        <w:ind w:start="480" w:end="480"/>
        <w:jc w:val="both"/>
        <w:rPr>
          <w:b/>
          <w:sz w:val="17"/>
        </w:rPr>
      </w:pPr>
      <w:r>
        <w:rPr>
          <w:b/>
          <w:sz w:val="17"/>
        </w:rPr>
        <w:tab/>
        <w:t>D. McCarty</w:t>
        <w:tab/>
        <w:tab/>
        <w:t>Houston</w:t>
        <w:tab/>
        <w:tab/>
        <w:tab/>
        <w:tab/>
        <w:t>D. Neubauer</w:t>
        <w:tab/>
        <w:tab/>
        <w:t>Omaha</w:t>
      </w:r>
    </w:p>
    <w:p>
      <w:pPr>
        <w:pStyle w:val="Normal"/>
        <w:tabs>
          <w:tab w:val="clear" w:pos="720"/>
          <w:tab w:val="left" w:pos="-240" w:leader="none"/>
          <w:tab w:val="left" w:pos="480" w:leader="none"/>
          <w:tab w:val="left" w:pos="1200" w:leader="none"/>
          <w:tab w:val="left" w:pos="1920" w:leader="none"/>
          <w:tab w:val="left" w:pos="2640" w:leader="none"/>
          <w:tab w:val="left" w:pos="3360" w:leader="none"/>
          <w:tab w:val="left" w:pos="4080" w:leader="none"/>
          <w:tab w:val="left" w:pos="4800" w:leader="none"/>
          <w:tab w:val="left" w:pos="5520" w:leader="none"/>
          <w:tab w:val="left" w:pos="6240" w:leader="none"/>
          <w:tab w:val="left" w:pos="6960" w:leader="none"/>
          <w:tab w:val="left" w:pos="7680" w:leader="none"/>
          <w:tab w:val="left" w:pos="8400" w:leader="none"/>
          <w:tab w:val="left" w:pos="9120" w:leader="none"/>
          <w:tab w:val="left" w:pos="9840" w:leader="none"/>
          <w:tab w:val="left" w:pos="10560" w:leader="none"/>
          <w:tab w:val="left" w:pos="11280" w:leader="none"/>
          <w:tab w:val="left" w:pos="12000" w:leader="none"/>
          <w:tab w:val="left" w:pos="12720" w:leader="none"/>
          <w:tab w:val="left" w:pos="13440" w:leader="none"/>
          <w:tab w:val="left" w:pos="14160" w:leader="none"/>
          <w:tab w:val="left" w:pos="14880" w:leader="none"/>
          <w:tab w:val="left" w:pos="15600" w:leader="none"/>
          <w:tab w:val="left" w:pos="16320" w:leader="none"/>
        </w:tabs>
        <w:ind w:start="480" w:end="480"/>
        <w:jc w:val="both"/>
        <w:rPr>
          <w:b/>
          <w:sz w:val="17"/>
        </w:rPr>
      </w:pPr>
      <w:r>
        <w:rPr>
          <w:b/>
          <w:sz w:val="17"/>
        </w:rPr>
        <w:tab/>
        <w:t>M.K. Miller</w:t>
        <w:tab/>
        <w:tab/>
        <w:t>Omaha</w:t>
        <w:tab/>
        <w:tab/>
        <w:tab/>
        <w:tab/>
        <w:t>K. Miller</w:t>
        <w:tab/>
        <w:tab/>
        <w:tab/>
        <w:t>Omaha</w:t>
      </w:r>
    </w:p>
    <w:p>
      <w:pPr>
        <w:pStyle w:val="Normal"/>
        <w:tabs>
          <w:tab w:val="clear" w:pos="720"/>
          <w:tab w:val="left" w:pos="-240" w:leader="none"/>
          <w:tab w:val="left" w:pos="480" w:leader="none"/>
          <w:tab w:val="left" w:pos="1200" w:leader="none"/>
          <w:tab w:val="left" w:pos="1920" w:leader="none"/>
          <w:tab w:val="left" w:pos="2640" w:leader="none"/>
          <w:tab w:val="left" w:pos="3360" w:leader="none"/>
          <w:tab w:val="left" w:pos="4080" w:leader="none"/>
          <w:tab w:val="left" w:pos="4800" w:leader="none"/>
          <w:tab w:val="left" w:pos="5520" w:leader="none"/>
          <w:tab w:val="left" w:pos="6240" w:leader="none"/>
          <w:tab w:val="left" w:pos="6960" w:leader="none"/>
          <w:tab w:val="left" w:pos="7680" w:leader="none"/>
          <w:tab w:val="left" w:pos="8400" w:leader="none"/>
          <w:tab w:val="left" w:pos="9120" w:leader="none"/>
          <w:tab w:val="left" w:pos="9840" w:leader="none"/>
          <w:tab w:val="left" w:pos="10560" w:leader="none"/>
          <w:tab w:val="left" w:pos="11280" w:leader="none"/>
          <w:tab w:val="left" w:pos="12000" w:leader="none"/>
          <w:tab w:val="left" w:pos="12720" w:leader="none"/>
          <w:tab w:val="left" w:pos="13440" w:leader="none"/>
          <w:tab w:val="left" w:pos="14160" w:leader="none"/>
          <w:tab w:val="left" w:pos="14880" w:leader="none"/>
          <w:tab w:val="left" w:pos="15600" w:leader="none"/>
          <w:tab w:val="left" w:pos="16320" w:leader="none"/>
        </w:tabs>
        <w:ind w:start="480" w:end="480"/>
        <w:jc w:val="both"/>
        <w:rPr>
          <w:b/>
          <w:sz w:val="17"/>
        </w:rPr>
      </w:pPr>
      <w:r>
        <w:rPr>
          <w:b/>
          <w:sz w:val="17"/>
        </w:rPr>
        <w:tab/>
        <w:t>M. McGowan</w:t>
        <w:tab/>
        <w:tab/>
        <w:t>Omaha</w:t>
        <w:tab/>
        <w:tab/>
        <w:tab/>
        <w:tab/>
        <w:t>J. Dushinske</w:t>
        <w:tab/>
        <w:tab/>
        <w:t>Omaha</w:t>
      </w:r>
    </w:p>
    <w:p>
      <w:pPr>
        <w:pStyle w:val="Normal"/>
        <w:tabs>
          <w:tab w:val="clear" w:pos="720"/>
          <w:tab w:val="left" w:pos="-240" w:leader="none"/>
          <w:tab w:val="left" w:pos="480" w:leader="none"/>
          <w:tab w:val="left" w:pos="1200" w:leader="none"/>
          <w:tab w:val="left" w:pos="1920" w:leader="none"/>
          <w:tab w:val="left" w:pos="2640" w:leader="none"/>
          <w:tab w:val="left" w:pos="3360" w:leader="none"/>
          <w:tab w:val="left" w:pos="4080" w:leader="none"/>
          <w:tab w:val="left" w:pos="4800" w:leader="none"/>
          <w:tab w:val="left" w:pos="5520" w:leader="none"/>
          <w:tab w:val="left" w:pos="6240" w:leader="none"/>
          <w:tab w:val="left" w:pos="6960" w:leader="none"/>
          <w:tab w:val="left" w:pos="7680" w:leader="none"/>
          <w:tab w:val="left" w:pos="8400" w:leader="none"/>
          <w:tab w:val="left" w:pos="9120" w:leader="none"/>
          <w:tab w:val="left" w:pos="9840" w:leader="none"/>
          <w:tab w:val="left" w:pos="10560" w:leader="none"/>
          <w:tab w:val="left" w:pos="11280" w:leader="none"/>
          <w:tab w:val="left" w:pos="12000" w:leader="none"/>
          <w:tab w:val="left" w:pos="12720" w:leader="none"/>
          <w:tab w:val="left" w:pos="13440" w:leader="none"/>
          <w:tab w:val="left" w:pos="14160" w:leader="none"/>
          <w:tab w:val="left" w:pos="14880" w:leader="none"/>
          <w:tab w:val="left" w:pos="15600" w:leader="none"/>
          <w:tab w:val="left" w:pos="16320" w:leader="none"/>
        </w:tabs>
        <w:ind w:start="480" w:end="480"/>
        <w:jc w:val="both"/>
        <w:rPr>
          <w:b/>
          <w:sz w:val="17"/>
        </w:rPr>
      </w:pPr>
      <w:r>
        <w:rPr>
          <w:b/>
          <w:sz w:val="17"/>
        </w:rPr>
        <w:tab/>
        <w:t>M. Nelson</w:t>
        <w:tab/>
        <w:tab/>
        <w:t>Omaha</w:t>
        <w:tab/>
        <w:tab/>
        <w:tab/>
        <w:tab/>
        <w:t>J. Shafer</w:t>
        <w:tab/>
        <w:tab/>
        <w:tab/>
        <w:t>Houston</w:t>
      </w:r>
    </w:p>
    <w:p>
      <w:pPr>
        <w:pStyle w:val="Normal"/>
        <w:tabs>
          <w:tab w:val="clear" w:pos="720"/>
          <w:tab w:val="left" w:pos="-240" w:leader="none"/>
          <w:tab w:val="left" w:pos="480" w:leader="none"/>
          <w:tab w:val="left" w:pos="1200" w:leader="none"/>
          <w:tab w:val="left" w:pos="1920" w:leader="none"/>
          <w:tab w:val="left" w:pos="2640" w:leader="none"/>
          <w:tab w:val="left" w:pos="3360" w:leader="none"/>
          <w:tab w:val="left" w:pos="4080" w:leader="none"/>
          <w:tab w:val="left" w:pos="4800" w:leader="none"/>
          <w:tab w:val="left" w:pos="5520" w:leader="none"/>
          <w:tab w:val="left" w:pos="6240" w:leader="none"/>
          <w:tab w:val="left" w:pos="6960" w:leader="none"/>
          <w:tab w:val="left" w:pos="7680" w:leader="none"/>
          <w:tab w:val="left" w:pos="8400" w:leader="none"/>
          <w:tab w:val="left" w:pos="9120" w:leader="none"/>
          <w:tab w:val="left" w:pos="9840" w:leader="none"/>
          <w:tab w:val="left" w:pos="10560" w:leader="none"/>
          <w:tab w:val="left" w:pos="11280" w:leader="none"/>
          <w:tab w:val="left" w:pos="12000" w:leader="none"/>
          <w:tab w:val="left" w:pos="12720" w:leader="none"/>
          <w:tab w:val="left" w:pos="13440" w:leader="none"/>
          <w:tab w:val="left" w:pos="14160" w:leader="none"/>
          <w:tab w:val="left" w:pos="14880" w:leader="none"/>
          <w:tab w:val="left" w:pos="15600" w:leader="none"/>
          <w:tab w:val="left" w:pos="16320" w:leader="none"/>
        </w:tabs>
        <w:ind w:start="480" w:end="480"/>
        <w:jc w:val="both"/>
        <w:rPr>
          <w:b/>
          <w:sz w:val="17"/>
        </w:rPr>
      </w:pPr>
      <w:r>
        <w:rPr>
          <w:b/>
          <w:sz w:val="17"/>
        </w:rPr>
        <w:tab/>
        <w:t>D. Fossum</w:t>
        <w:tab/>
        <w:tab/>
        <w:t>Omaha</w:t>
        <w:tab/>
        <w:tab/>
        <w:tab/>
        <w:tab/>
        <w:t>J. White</w:t>
        <w:tab/>
        <w:tab/>
        <w:tab/>
        <w:t>Houston</w:t>
      </w:r>
    </w:p>
    <w:p>
      <w:pPr>
        <w:pStyle w:val="Normal"/>
        <w:tabs>
          <w:tab w:val="clear" w:pos="720"/>
          <w:tab w:val="left" w:pos="-240" w:leader="none"/>
          <w:tab w:val="left" w:pos="480" w:leader="none"/>
          <w:tab w:val="left" w:pos="1200" w:leader="none"/>
          <w:tab w:val="left" w:pos="1920" w:leader="none"/>
          <w:tab w:val="left" w:pos="2640" w:leader="none"/>
          <w:tab w:val="left" w:pos="3360" w:leader="none"/>
          <w:tab w:val="left" w:pos="4080" w:leader="none"/>
          <w:tab w:val="left" w:pos="4800" w:leader="none"/>
          <w:tab w:val="left" w:pos="5520" w:leader="none"/>
          <w:tab w:val="left" w:pos="6240" w:leader="none"/>
          <w:tab w:val="left" w:pos="6960" w:leader="none"/>
          <w:tab w:val="left" w:pos="7680" w:leader="none"/>
          <w:tab w:val="left" w:pos="8400" w:leader="none"/>
          <w:tab w:val="left" w:pos="9120" w:leader="none"/>
          <w:tab w:val="left" w:pos="9840" w:leader="none"/>
          <w:tab w:val="left" w:pos="10560" w:leader="none"/>
          <w:tab w:val="left" w:pos="11280" w:leader="none"/>
          <w:tab w:val="left" w:pos="12000" w:leader="none"/>
          <w:tab w:val="left" w:pos="12720" w:leader="none"/>
          <w:tab w:val="left" w:pos="13440" w:leader="none"/>
          <w:tab w:val="left" w:pos="14160" w:leader="none"/>
          <w:tab w:val="left" w:pos="14880" w:leader="none"/>
          <w:tab w:val="left" w:pos="15600" w:leader="none"/>
          <w:tab w:val="left" w:pos="16320" w:leader="none"/>
        </w:tabs>
        <w:ind w:start="1200" w:end="480"/>
        <w:jc w:val="both"/>
        <w:rPr>
          <w:b/>
          <w:sz w:val="17"/>
        </w:rPr>
      </w:pPr>
      <w:r>
        <w:rPr>
          <w:b/>
          <w:sz w:val="17"/>
        </w:rPr>
        <w:t>P. Lowry</w:t>
        <w:tab/>
        <w:tab/>
        <w:tab/>
        <w:t>Houston</w:t>
        <w:tab/>
        <w:tab/>
        <w:tab/>
        <w:tab/>
        <w:t>S. Harris</w:t>
        <w:tab/>
        <w:tab/>
        <w:tab/>
        <w:t>Houston</w:t>
      </w:r>
    </w:p>
    <w:p>
      <w:pPr>
        <w:pStyle w:val="Normal"/>
        <w:tabs>
          <w:tab w:val="clear" w:pos="720"/>
          <w:tab w:val="left" w:pos="-240" w:leader="none"/>
          <w:tab w:val="left" w:pos="480" w:leader="none"/>
          <w:tab w:val="left" w:pos="1200" w:leader="none"/>
          <w:tab w:val="left" w:pos="1920" w:leader="none"/>
          <w:tab w:val="left" w:pos="2640" w:leader="none"/>
          <w:tab w:val="left" w:pos="3360" w:leader="none"/>
          <w:tab w:val="left" w:pos="4080" w:leader="none"/>
          <w:tab w:val="left" w:pos="4800" w:leader="none"/>
          <w:tab w:val="left" w:pos="5520" w:leader="none"/>
          <w:tab w:val="left" w:pos="6240" w:leader="none"/>
          <w:tab w:val="left" w:pos="6960" w:leader="none"/>
          <w:tab w:val="left" w:pos="7680" w:leader="none"/>
          <w:tab w:val="left" w:pos="8400" w:leader="none"/>
          <w:tab w:val="left" w:pos="9120" w:leader="none"/>
          <w:tab w:val="left" w:pos="9840" w:leader="none"/>
          <w:tab w:val="left" w:pos="10560" w:leader="none"/>
          <w:tab w:val="left" w:pos="11280" w:leader="none"/>
          <w:tab w:val="left" w:pos="12000" w:leader="none"/>
          <w:tab w:val="left" w:pos="12720" w:leader="none"/>
          <w:tab w:val="left" w:pos="13440" w:leader="none"/>
          <w:tab w:val="left" w:pos="14160" w:leader="none"/>
          <w:tab w:val="left" w:pos="14880" w:leader="none"/>
          <w:tab w:val="left" w:pos="15600" w:leader="none"/>
          <w:tab w:val="left" w:pos="16320" w:leader="none"/>
        </w:tabs>
        <w:ind w:start="1200" w:end="480"/>
        <w:jc w:val="both"/>
        <w:rPr>
          <w:b/>
          <w:sz w:val="17"/>
        </w:rPr>
      </w:pPr>
      <w:r>
        <w:rPr>
          <w:b/>
          <w:sz w:val="17"/>
        </w:rPr>
        <w:t>S. Corman</w:t>
        <w:tab/>
        <w:tab/>
        <w:t>Houston</w:t>
        <w:tab/>
        <w:tab/>
        <w:tab/>
        <w:tab/>
        <w:t>B. Fowler</w:t>
        <w:tab/>
        <w:tab/>
        <w:tab/>
        <w:t>Omaha</w:t>
      </w:r>
    </w:p>
    <w:p>
      <w:pPr>
        <w:pStyle w:val="Normal"/>
        <w:tabs>
          <w:tab w:val="clear" w:pos="720"/>
          <w:tab w:val="left" w:pos="-240" w:leader="none"/>
          <w:tab w:val="left" w:pos="480" w:leader="none"/>
          <w:tab w:val="left" w:pos="1200" w:leader="none"/>
          <w:tab w:val="left" w:pos="1920" w:leader="none"/>
          <w:tab w:val="left" w:pos="2640" w:leader="none"/>
          <w:tab w:val="left" w:pos="3360" w:leader="none"/>
          <w:tab w:val="left" w:pos="4080" w:leader="none"/>
          <w:tab w:val="left" w:pos="4800" w:leader="none"/>
          <w:tab w:val="left" w:pos="5520" w:leader="none"/>
          <w:tab w:val="left" w:pos="6240" w:leader="none"/>
          <w:tab w:val="left" w:pos="6960" w:leader="none"/>
          <w:tab w:val="left" w:pos="7680" w:leader="none"/>
          <w:tab w:val="left" w:pos="8400" w:leader="none"/>
          <w:tab w:val="left" w:pos="9120" w:leader="none"/>
          <w:tab w:val="left" w:pos="9840" w:leader="none"/>
          <w:tab w:val="left" w:pos="10560" w:leader="none"/>
          <w:tab w:val="left" w:pos="11280" w:leader="none"/>
          <w:tab w:val="left" w:pos="12000" w:leader="none"/>
          <w:tab w:val="left" w:pos="12720" w:leader="none"/>
          <w:tab w:val="left" w:pos="13440" w:leader="none"/>
          <w:tab w:val="left" w:pos="14160" w:leader="none"/>
          <w:tab w:val="left" w:pos="14880" w:leader="none"/>
          <w:tab w:val="left" w:pos="15600" w:leader="none"/>
          <w:tab w:val="left" w:pos="16320" w:leader="none"/>
        </w:tabs>
        <w:ind w:start="1200" w:end="480"/>
        <w:jc w:val="both"/>
        <w:rPr>
          <w:b/>
          <w:sz w:val="17"/>
        </w:rPr>
      </w:pPr>
      <w:r>
        <w:rPr>
          <w:b/>
          <w:sz w:val="17"/>
        </w:rPr>
        <w:t>R. Hayslett</w:t>
        <w:tab/>
        <w:tab/>
        <w:t>Houston</w:t>
        <w:tab/>
        <w:tab/>
        <w:tab/>
        <w:tab/>
        <w:t xml:space="preserve">R. Rice </w:t>
        <w:tab/>
        <w:tab/>
        <w:tab/>
        <w:t>Houston</w:t>
      </w:r>
    </w:p>
    <w:p>
      <w:pPr>
        <w:pStyle w:val="Normal"/>
        <w:tabs>
          <w:tab w:val="clear" w:pos="720"/>
          <w:tab w:val="left" w:pos="-240" w:leader="none"/>
          <w:tab w:val="left" w:pos="480" w:leader="none"/>
          <w:tab w:val="left" w:pos="1200" w:leader="none"/>
          <w:tab w:val="left" w:pos="1920" w:leader="none"/>
          <w:tab w:val="left" w:pos="2640" w:leader="none"/>
          <w:tab w:val="left" w:pos="3360" w:leader="none"/>
          <w:tab w:val="left" w:pos="4080" w:leader="none"/>
          <w:tab w:val="left" w:pos="4800" w:leader="none"/>
          <w:tab w:val="left" w:pos="5520" w:leader="none"/>
          <w:tab w:val="left" w:pos="6240" w:leader="none"/>
          <w:tab w:val="left" w:pos="6960" w:leader="none"/>
          <w:tab w:val="left" w:pos="7680" w:leader="none"/>
          <w:tab w:val="left" w:pos="8400" w:leader="none"/>
          <w:tab w:val="left" w:pos="9120" w:leader="none"/>
          <w:tab w:val="left" w:pos="9840" w:leader="none"/>
          <w:tab w:val="left" w:pos="10560" w:leader="none"/>
          <w:tab w:val="left" w:pos="11280" w:leader="none"/>
          <w:tab w:val="left" w:pos="12000" w:leader="none"/>
          <w:tab w:val="left" w:pos="12720" w:leader="none"/>
          <w:tab w:val="left" w:pos="13440" w:leader="none"/>
          <w:tab w:val="left" w:pos="14160" w:leader="none"/>
          <w:tab w:val="left" w:pos="14880" w:leader="none"/>
          <w:tab w:val="left" w:pos="15600" w:leader="none"/>
          <w:tab w:val="left" w:pos="16320" w:leader="none"/>
        </w:tabs>
        <w:ind w:start="1200" w:end="480"/>
        <w:jc w:val="both"/>
        <w:rPr>
          <w:b/>
          <w:sz w:val="17"/>
        </w:rPr>
      </w:pPr>
      <w:r>
        <w:rPr>
          <w:b/>
          <w:sz w:val="17"/>
        </w:rPr>
      </w:r>
    </w:p>
    <w:p>
      <w:pPr>
        <w:pStyle w:val="Normal"/>
        <w:tabs>
          <w:tab w:val="clear" w:pos="720"/>
          <w:tab w:val="left" w:pos="-240" w:leader="none"/>
          <w:tab w:val="left" w:pos="480" w:leader="none"/>
          <w:tab w:val="left" w:pos="1200" w:leader="none"/>
          <w:tab w:val="left" w:pos="1920" w:leader="none"/>
          <w:tab w:val="left" w:pos="2640" w:leader="none"/>
          <w:tab w:val="left" w:pos="3360" w:leader="none"/>
          <w:tab w:val="left" w:pos="4080" w:leader="none"/>
          <w:tab w:val="left" w:pos="4800" w:leader="none"/>
          <w:tab w:val="left" w:pos="5520" w:leader="none"/>
          <w:tab w:val="left" w:pos="6240" w:leader="none"/>
          <w:tab w:val="left" w:pos="6960" w:leader="none"/>
          <w:tab w:val="left" w:pos="7680" w:leader="none"/>
          <w:tab w:val="left" w:pos="8400" w:leader="none"/>
          <w:tab w:val="left" w:pos="9120" w:leader="none"/>
          <w:tab w:val="left" w:pos="9840" w:leader="none"/>
          <w:tab w:val="left" w:pos="10560" w:leader="none"/>
          <w:tab w:val="left" w:pos="11280" w:leader="none"/>
          <w:tab w:val="left" w:pos="12000" w:leader="none"/>
          <w:tab w:val="left" w:pos="12720" w:leader="none"/>
          <w:tab w:val="left" w:pos="13440" w:leader="none"/>
          <w:tab w:val="left" w:pos="14160" w:leader="none"/>
          <w:tab w:val="left" w:pos="14880" w:leader="none"/>
          <w:tab w:val="left" w:pos="15600" w:leader="none"/>
          <w:tab w:val="left" w:pos="16320" w:leader="none"/>
        </w:tabs>
        <w:ind w:start="480" w:end="480"/>
        <w:jc w:val="both"/>
        <w:rPr>
          <w:b/>
          <w:sz w:val="17"/>
        </w:rPr>
      </w:pPr>
      <w:r>
        <w:rPr>
          <w:b/>
          <w:sz w:val="17"/>
        </w:rPr>
        <w:tab/>
        <w:t>All Marketing Account Managers:</w:t>
        <w:tab/>
        <w:tab/>
        <w:tab/>
        <w:tab/>
      </w:r>
    </w:p>
    <w:p>
      <w:pPr>
        <w:pStyle w:val="Normal"/>
        <w:tabs>
          <w:tab w:val="clear" w:pos="720"/>
          <w:tab w:val="left" w:pos="-240" w:leader="none"/>
          <w:tab w:val="left" w:pos="480" w:leader="none"/>
          <w:tab w:val="left" w:pos="1200" w:leader="none"/>
          <w:tab w:val="left" w:pos="1920" w:leader="none"/>
          <w:tab w:val="left" w:pos="2640" w:leader="none"/>
          <w:tab w:val="left" w:pos="3360" w:leader="none"/>
          <w:tab w:val="left" w:pos="4080" w:leader="none"/>
          <w:tab w:val="left" w:pos="4800" w:leader="none"/>
          <w:tab w:val="left" w:pos="5520" w:leader="none"/>
          <w:tab w:val="left" w:pos="6240" w:leader="none"/>
          <w:tab w:val="left" w:pos="6960" w:leader="none"/>
          <w:tab w:val="left" w:pos="7680" w:leader="none"/>
          <w:tab w:val="left" w:pos="8400" w:leader="none"/>
          <w:tab w:val="left" w:pos="9120" w:leader="none"/>
          <w:tab w:val="left" w:pos="9840" w:leader="none"/>
          <w:tab w:val="left" w:pos="10560" w:leader="none"/>
          <w:tab w:val="left" w:pos="11280" w:leader="none"/>
          <w:tab w:val="left" w:pos="12000" w:leader="none"/>
          <w:tab w:val="left" w:pos="12720" w:leader="none"/>
          <w:tab w:val="left" w:pos="13440" w:leader="none"/>
          <w:tab w:val="left" w:pos="14160" w:leader="none"/>
          <w:tab w:val="left" w:pos="14880" w:leader="none"/>
          <w:tab w:val="left" w:pos="15600" w:leader="none"/>
          <w:tab w:val="left" w:pos="16320" w:leader="none"/>
        </w:tabs>
        <w:ind w:end="480"/>
        <w:jc w:val="both"/>
        <w:rPr>
          <w:b/>
          <w:sz w:val="17"/>
        </w:rPr>
      </w:pPr>
      <w:r>
        <w:rPr>
          <w:b/>
          <w:sz w:val="17"/>
        </w:rPr>
        <w:tab/>
        <w:tab/>
        <w:t>Omaha, Houston &amp; Minneapolis</w:t>
        <w:tab/>
        <w:tab/>
        <w:tab/>
        <w:tab/>
        <w:t>Certificate Department Staff</w:t>
        <w:tab/>
        <w:tab/>
      </w:r>
    </w:p>
    <w:p>
      <w:pPr>
        <w:pStyle w:val="Normal"/>
        <w:tabs>
          <w:tab w:val="clear" w:pos="720"/>
          <w:tab w:val="left" w:pos="-240" w:leader="none"/>
          <w:tab w:val="left" w:pos="480" w:leader="none"/>
          <w:tab w:val="left" w:pos="1200" w:leader="none"/>
          <w:tab w:val="left" w:pos="1920" w:leader="none"/>
          <w:tab w:val="left" w:pos="2640" w:leader="none"/>
          <w:tab w:val="left" w:pos="3360" w:leader="none"/>
          <w:tab w:val="left" w:pos="4080" w:leader="none"/>
          <w:tab w:val="left" w:pos="4800" w:leader="none"/>
          <w:tab w:val="left" w:pos="5520" w:leader="none"/>
          <w:tab w:val="left" w:pos="6240" w:leader="none"/>
          <w:tab w:val="left" w:pos="6960" w:leader="none"/>
          <w:tab w:val="left" w:pos="7680" w:leader="none"/>
          <w:tab w:val="left" w:pos="8400" w:leader="none"/>
          <w:tab w:val="left" w:pos="9120" w:leader="none"/>
          <w:tab w:val="left" w:pos="9840" w:leader="none"/>
          <w:tab w:val="left" w:pos="10560" w:leader="none"/>
          <w:tab w:val="left" w:pos="11280" w:leader="none"/>
          <w:tab w:val="left" w:pos="12000" w:leader="none"/>
          <w:tab w:val="left" w:pos="12720" w:leader="none"/>
          <w:tab w:val="left" w:pos="13440" w:leader="none"/>
          <w:tab w:val="left" w:pos="14160" w:leader="none"/>
          <w:tab w:val="left" w:pos="14880" w:leader="none"/>
          <w:tab w:val="left" w:pos="15600" w:leader="none"/>
          <w:tab w:val="left" w:pos="16320" w:leader="none"/>
        </w:tabs>
        <w:ind w:end="480"/>
        <w:jc w:val="both"/>
        <w:rPr>
          <w:b/>
          <w:sz w:val="17"/>
        </w:rPr>
      </w:pPr>
      <w:r>
        <w:rPr>
          <w:b/>
          <w:sz w:val="17"/>
        </w:rPr>
        <w:tab/>
        <w:tab/>
        <w:t>G. Hass</w:t>
        <w:tab/>
        <w:tab/>
        <w:tab/>
        <w:t>Omaha</w:t>
        <w:tab/>
        <w:tab/>
        <w:tab/>
        <w:tab/>
        <w:t>J. Centilli</w:t>
        <w:tab/>
        <w:tab/>
        <w:tab/>
        <w:t>Houston</w:t>
      </w:r>
    </w:p>
    <w:p>
      <w:pPr>
        <w:pStyle w:val="Normal"/>
        <w:tabs>
          <w:tab w:val="clear" w:pos="720"/>
          <w:tab w:val="left" w:pos="-240" w:leader="none"/>
          <w:tab w:val="left" w:pos="480" w:leader="none"/>
          <w:tab w:val="left" w:pos="1200" w:leader="none"/>
          <w:tab w:val="left" w:pos="1920" w:leader="none"/>
          <w:tab w:val="left" w:pos="2640" w:leader="none"/>
          <w:tab w:val="left" w:pos="3360" w:leader="none"/>
          <w:tab w:val="left" w:pos="4080" w:leader="none"/>
          <w:tab w:val="left" w:pos="4800" w:leader="none"/>
          <w:tab w:val="left" w:pos="5520" w:leader="none"/>
          <w:tab w:val="left" w:pos="6240" w:leader="none"/>
          <w:tab w:val="left" w:pos="6960" w:leader="none"/>
          <w:tab w:val="left" w:pos="7680" w:leader="none"/>
          <w:tab w:val="left" w:pos="8400" w:leader="none"/>
          <w:tab w:val="left" w:pos="9120" w:leader="none"/>
          <w:tab w:val="left" w:pos="9840" w:leader="none"/>
          <w:tab w:val="left" w:pos="10560" w:leader="none"/>
          <w:tab w:val="left" w:pos="11280" w:leader="none"/>
          <w:tab w:val="left" w:pos="12000" w:leader="none"/>
          <w:tab w:val="left" w:pos="12720" w:leader="none"/>
          <w:tab w:val="left" w:pos="13440" w:leader="none"/>
          <w:tab w:val="left" w:pos="14160" w:leader="none"/>
          <w:tab w:val="left" w:pos="14880" w:leader="none"/>
          <w:tab w:val="left" w:pos="15600" w:leader="none"/>
          <w:tab w:val="left" w:pos="16320" w:leader="none"/>
        </w:tabs>
        <w:ind w:start="480" w:end="480"/>
        <w:jc w:val="both"/>
        <w:rPr>
          <w:b/>
          <w:sz w:val="17"/>
        </w:rPr>
      </w:pPr>
      <w:r>
        <w:rPr>
          <w:b/>
          <w:sz w:val="17"/>
        </w:rPr>
        <w:tab/>
        <w:t>D. Dornan</w:t>
        <w:tab/>
        <w:tab/>
        <w:t xml:space="preserve">Omaha </w:t>
        <w:tab/>
        <w:tab/>
        <w:tab/>
        <w:tab/>
        <w:t>B. Chandler</w:t>
        <w:tab/>
        <w:tab/>
        <w:t>Houston</w:t>
      </w:r>
    </w:p>
    <w:p>
      <w:pPr>
        <w:pStyle w:val="Normal"/>
        <w:tabs>
          <w:tab w:val="clear" w:pos="720"/>
          <w:tab w:val="left" w:pos="-240" w:leader="none"/>
          <w:tab w:val="left" w:pos="480" w:leader="none"/>
          <w:tab w:val="left" w:pos="1200" w:leader="none"/>
          <w:tab w:val="left" w:pos="1920" w:leader="none"/>
          <w:tab w:val="left" w:pos="2640" w:leader="none"/>
          <w:tab w:val="left" w:pos="3360" w:leader="none"/>
          <w:tab w:val="left" w:pos="4080" w:leader="none"/>
          <w:tab w:val="left" w:pos="4800" w:leader="none"/>
          <w:tab w:val="left" w:pos="5520" w:leader="none"/>
          <w:tab w:val="left" w:pos="6240" w:leader="none"/>
          <w:tab w:val="left" w:pos="6960" w:leader="none"/>
          <w:tab w:val="left" w:pos="7680" w:leader="none"/>
          <w:tab w:val="left" w:pos="8400" w:leader="none"/>
          <w:tab w:val="left" w:pos="9120" w:leader="none"/>
          <w:tab w:val="left" w:pos="9840" w:leader="none"/>
          <w:tab w:val="left" w:pos="10560" w:leader="none"/>
          <w:tab w:val="left" w:pos="11280" w:leader="none"/>
          <w:tab w:val="left" w:pos="12000" w:leader="none"/>
          <w:tab w:val="left" w:pos="12720" w:leader="none"/>
          <w:tab w:val="left" w:pos="13440" w:leader="none"/>
          <w:tab w:val="left" w:pos="14160" w:leader="none"/>
          <w:tab w:val="left" w:pos="14880" w:leader="none"/>
          <w:tab w:val="left" w:pos="15600" w:leader="none"/>
          <w:tab w:val="left" w:pos="16320" w:leader="none"/>
        </w:tabs>
        <w:ind w:start="480" w:end="480"/>
        <w:jc w:val="both"/>
        <w:rPr>
          <w:b/>
          <w:sz w:val="17"/>
        </w:rPr>
      </w:pPr>
      <w:r>
        <w:rPr>
          <w:b/>
          <w:sz w:val="17"/>
        </w:rPr>
        <w:tab/>
        <w:t>J. Talcott</w:t>
        <w:tab/>
        <w:tab/>
        <w:tab/>
        <w:t xml:space="preserve">Omaha </w:t>
        <w:tab/>
        <w:tab/>
        <w:tab/>
        <w:tab/>
        <w:t>L. Stanton</w:t>
        <w:tab/>
        <w:tab/>
        <w:t>Minneapolis</w:t>
      </w:r>
    </w:p>
    <w:p>
      <w:pPr>
        <w:pStyle w:val="Normal"/>
        <w:tabs>
          <w:tab w:val="clear" w:pos="720"/>
          <w:tab w:val="left" w:pos="-240" w:leader="none"/>
          <w:tab w:val="left" w:pos="480" w:leader="none"/>
          <w:tab w:val="left" w:pos="1200" w:leader="none"/>
          <w:tab w:val="left" w:pos="1920" w:leader="none"/>
          <w:tab w:val="left" w:pos="2640" w:leader="none"/>
          <w:tab w:val="left" w:pos="3360" w:leader="none"/>
          <w:tab w:val="left" w:pos="4080" w:leader="none"/>
          <w:tab w:val="left" w:pos="4800" w:leader="none"/>
          <w:tab w:val="left" w:pos="5520" w:leader="none"/>
          <w:tab w:val="left" w:pos="6240" w:leader="none"/>
          <w:tab w:val="left" w:pos="6960" w:leader="none"/>
          <w:tab w:val="left" w:pos="7680" w:leader="none"/>
          <w:tab w:val="left" w:pos="8400" w:leader="none"/>
          <w:tab w:val="left" w:pos="9120" w:leader="none"/>
          <w:tab w:val="left" w:pos="9840" w:leader="none"/>
          <w:tab w:val="left" w:pos="10560" w:leader="none"/>
          <w:tab w:val="left" w:pos="11280" w:leader="none"/>
          <w:tab w:val="left" w:pos="12000" w:leader="none"/>
          <w:tab w:val="left" w:pos="12720" w:leader="none"/>
          <w:tab w:val="left" w:pos="13440" w:leader="none"/>
          <w:tab w:val="left" w:pos="14160" w:leader="none"/>
          <w:tab w:val="left" w:pos="14880" w:leader="none"/>
          <w:tab w:val="left" w:pos="15600" w:leader="none"/>
          <w:tab w:val="left" w:pos="16320" w:leader="none"/>
        </w:tabs>
        <w:ind w:start="480" w:end="480"/>
        <w:jc w:val="both"/>
        <w:rPr>
          <w:b/>
          <w:sz w:val="17"/>
        </w:rPr>
      </w:pPr>
      <w:r>
        <w:rPr>
          <w:b/>
          <w:sz w:val="17"/>
        </w:rPr>
        <w:tab/>
        <w:t>S. Scott</w:t>
        <w:tab/>
        <w:tab/>
        <w:tab/>
        <w:t xml:space="preserve">Houston </w:t>
        <w:tab/>
        <w:tab/>
        <w:tab/>
        <w:tab/>
        <w:t>M. Darveaux</w:t>
        <w:tab/>
        <w:tab/>
        <w:t>Omaha</w:t>
      </w:r>
    </w:p>
    <w:p>
      <w:pPr>
        <w:pStyle w:val="Normal"/>
        <w:tabs>
          <w:tab w:val="clear" w:pos="720"/>
          <w:tab w:val="left" w:pos="-240" w:leader="none"/>
          <w:tab w:val="left" w:pos="480" w:leader="none"/>
          <w:tab w:val="left" w:pos="1200" w:leader="none"/>
          <w:tab w:val="left" w:pos="1920" w:leader="none"/>
          <w:tab w:val="left" w:pos="2640" w:leader="none"/>
          <w:tab w:val="left" w:pos="3360" w:leader="none"/>
          <w:tab w:val="left" w:pos="4080" w:leader="none"/>
          <w:tab w:val="left" w:pos="4800" w:leader="none"/>
          <w:tab w:val="left" w:pos="5520" w:leader="none"/>
          <w:tab w:val="left" w:pos="6240" w:leader="none"/>
          <w:tab w:val="left" w:pos="6960" w:leader="none"/>
          <w:tab w:val="left" w:pos="7680" w:leader="none"/>
          <w:tab w:val="left" w:pos="8400" w:leader="none"/>
          <w:tab w:val="left" w:pos="9120" w:leader="none"/>
          <w:tab w:val="left" w:pos="9840" w:leader="none"/>
          <w:tab w:val="left" w:pos="10560" w:leader="none"/>
          <w:tab w:val="left" w:pos="11280" w:leader="none"/>
          <w:tab w:val="left" w:pos="12000" w:leader="none"/>
          <w:tab w:val="left" w:pos="12720" w:leader="none"/>
          <w:tab w:val="left" w:pos="13440" w:leader="none"/>
          <w:tab w:val="left" w:pos="14160" w:leader="none"/>
          <w:tab w:val="left" w:pos="14880" w:leader="none"/>
          <w:tab w:val="left" w:pos="15600" w:leader="none"/>
          <w:tab w:val="left" w:pos="16320" w:leader="none"/>
        </w:tabs>
        <w:ind w:start="480" w:end="480"/>
        <w:jc w:val="both"/>
        <w:rPr>
          <w:b/>
          <w:sz w:val="17"/>
        </w:rPr>
      </w:pPr>
      <w:r>
        <w:rPr>
          <w:b/>
          <w:sz w:val="17"/>
        </w:rPr>
        <w:tab/>
        <w:t>G. Zahn</w:t>
        <w:tab/>
        <w:tab/>
        <w:tab/>
        <w:t xml:space="preserve">Houston </w:t>
        <w:tab/>
        <w:tab/>
        <w:tab/>
        <w:tab/>
        <w:t>D. Clements</w:t>
        <w:tab/>
        <w:tab/>
        <w:t xml:space="preserve">Omaha </w:t>
      </w:r>
    </w:p>
    <w:p>
      <w:pPr>
        <w:pStyle w:val="Normal"/>
        <w:tabs>
          <w:tab w:val="clear" w:pos="720"/>
          <w:tab w:val="left" w:pos="-240" w:leader="none"/>
          <w:tab w:val="left" w:pos="480" w:leader="none"/>
          <w:tab w:val="left" w:pos="1200" w:leader="none"/>
          <w:tab w:val="left" w:pos="1920" w:leader="none"/>
          <w:tab w:val="left" w:pos="2640" w:leader="none"/>
          <w:tab w:val="left" w:pos="3360" w:leader="none"/>
          <w:tab w:val="left" w:pos="4080" w:leader="none"/>
          <w:tab w:val="left" w:pos="4800" w:leader="none"/>
          <w:tab w:val="left" w:pos="5520" w:leader="none"/>
          <w:tab w:val="left" w:pos="6240" w:leader="none"/>
          <w:tab w:val="left" w:pos="6960" w:leader="none"/>
          <w:tab w:val="left" w:pos="7680" w:leader="none"/>
          <w:tab w:val="left" w:pos="8400" w:leader="none"/>
          <w:tab w:val="left" w:pos="9120" w:leader="none"/>
          <w:tab w:val="left" w:pos="9840" w:leader="none"/>
          <w:tab w:val="left" w:pos="10560" w:leader="none"/>
          <w:tab w:val="left" w:pos="11280" w:leader="none"/>
          <w:tab w:val="left" w:pos="12000" w:leader="none"/>
          <w:tab w:val="left" w:pos="12720" w:leader="none"/>
          <w:tab w:val="left" w:pos="13440" w:leader="none"/>
          <w:tab w:val="left" w:pos="14160" w:leader="none"/>
          <w:tab w:val="left" w:pos="14880" w:leader="none"/>
          <w:tab w:val="left" w:pos="15600" w:leader="none"/>
          <w:tab w:val="left" w:pos="16320" w:leader="none"/>
        </w:tabs>
        <w:ind w:start="480" w:end="480"/>
        <w:jc w:val="both"/>
        <w:rPr>
          <w:b/>
          <w:sz w:val="17"/>
        </w:rPr>
      </w:pPr>
      <w:r>
        <w:rPr>
          <w:b/>
          <w:sz w:val="17"/>
        </w:rPr>
        <w:tab/>
        <w:t>M. Pavlou</w:t>
        <w:tab/>
        <w:tab/>
        <w:t xml:space="preserve">Omaha </w:t>
        <w:tab/>
        <w:tab/>
        <w:tab/>
        <w:tab/>
        <w:t>L. Soldano</w:t>
        <w:tab/>
        <w:tab/>
        <w:t xml:space="preserve">Houston </w:t>
      </w:r>
    </w:p>
    <w:p>
      <w:pPr>
        <w:pStyle w:val="Normal"/>
        <w:tabs>
          <w:tab w:val="clear" w:pos="720"/>
          <w:tab w:val="left" w:pos="-240" w:leader="none"/>
          <w:tab w:val="left" w:pos="480" w:leader="none"/>
          <w:tab w:val="left" w:pos="1200" w:leader="none"/>
          <w:tab w:val="left" w:pos="1920" w:leader="none"/>
          <w:tab w:val="left" w:pos="2640" w:leader="none"/>
          <w:tab w:val="left" w:pos="3360" w:leader="none"/>
          <w:tab w:val="left" w:pos="4080" w:leader="none"/>
          <w:tab w:val="left" w:pos="4800" w:leader="none"/>
          <w:tab w:val="left" w:pos="5520" w:leader="none"/>
          <w:tab w:val="left" w:pos="6240" w:leader="none"/>
          <w:tab w:val="left" w:pos="6960" w:leader="none"/>
          <w:tab w:val="left" w:pos="7680" w:leader="none"/>
          <w:tab w:val="left" w:pos="8400" w:leader="none"/>
          <w:tab w:val="left" w:pos="9120" w:leader="none"/>
          <w:tab w:val="left" w:pos="9840" w:leader="none"/>
          <w:tab w:val="left" w:pos="10560" w:leader="none"/>
          <w:tab w:val="left" w:pos="11280" w:leader="none"/>
          <w:tab w:val="left" w:pos="12000" w:leader="none"/>
          <w:tab w:val="left" w:pos="12720" w:leader="none"/>
          <w:tab w:val="left" w:pos="13440" w:leader="none"/>
          <w:tab w:val="left" w:pos="14160" w:leader="none"/>
          <w:tab w:val="left" w:pos="14880" w:leader="none"/>
          <w:tab w:val="left" w:pos="15600" w:leader="none"/>
          <w:tab w:val="left" w:pos="16320" w:leader="none"/>
        </w:tabs>
        <w:ind w:start="480" w:end="480"/>
        <w:jc w:val="both"/>
        <w:rPr>
          <w:b/>
          <w:sz w:val="17"/>
        </w:rPr>
      </w:pPr>
      <w:r>
        <w:rPr>
          <w:b/>
          <w:sz w:val="17"/>
        </w:rPr>
        <w:tab/>
        <w:t>L. Huber</w:t>
        <w:tab/>
        <w:tab/>
        <w:tab/>
        <w:t>Houston</w:t>
        <w:tab/>
        <w:tab/>
        <w:tab/>
        <w:tab/>
        <w:t>K. Wilkie</w:t>
        <w:tab/>
        <w:tab/>
        <w:tab/>
        <w:t xml:space="preserve">Houston </w:t>
      </w:r>
    </w:p>
    <w:p>
      <w:pPr>
        <w:pStyle w:val="Normal"/>
        <w:tabs>
          <w:tab w:val="clear" w:pos="720"/>
          <w:tab w:val="left" w:pos="-240" w:leader="none"/>
          <w:tab w:val="left" w:pos="480" w:leader="none"/>
          <w:tab w:val="left" w:pos="1200" w:leader="none"/>
          <w:tab w:val="left" w:pos="1920" w:leader="none"/>
          <w:tab w:val="left" w:pos="2640" w:leader="none"/>
          <w:tab w:val="left" w:pos="3360" w:leader="none"/>
          <w:tab w:val="left" w:pos="4080" w:leader="none"/>
          <w:tab w:val="left" w:pos="4800" w:leader="none"/>
          <w:tab w:val="left" w:pos="5520" w:leader="none"/>
          <w:tab w:val="left" w:pos="6240" w:leader="none"/>
          <w:tab w:val="left" w:pos="6960" w:leader="none"/>
          <w:tab w:val="left" w:pos="7680" w:leader="none"/>
          <w:tab w:val="left" w:pos="8400" w:leader="none"/>
          <w:tab w:val="left" w:pos="9120" w:leader="none"/>
          <w:tab w:val="left" w:pos="9840" w:leader="none"/>
          <w:tab w:val="left" w:pos="10560" w:leader="none"/>
          <w:tab w:val="left" w:pos="11280" w:leader="none"/>
          <w:tab w:val="left" w:pos="12000" w:leader="none"/>
          <w:tab w:val="left" w:pos="12720" w:leader="none"/>
          <w:tab w:val="left" w:pos="13440" w:leader="none"/>
          <w:tab w:val="left" w:pos="14160" w:leader="none"/>
          <w:tab w:val="left" w:pos="14880" w:leader="none"/>
          <w:tab w:val="left" w:pos="15600" w:leader="none"/>
          <w:tab w:val="left" w:pos="16320" w:leader="none"/>
        </w:tabs>
        <w:ind w:start="480" w:end="480"/>
        <w:jc w:val="both"/>
        <w:rPr>
          <w:b/>
          <w:sz w:val="17"/>
        </w:rPr>
      </w:pPr>
      <w:r>
        <w:rPr>
          <w:b/>
          <w:sz w:val="17"/>
        </w:rPr>
        <w:tab/>
        <w:t>T. Ritchey</w:t>
        <w:tab/>
        <w:tab/>
        <w:t>Omaha</w:t>
        <w:tab/>
        <w:tab/>
        <w:tab/>
        <w:tab/>
        <w:t>D. Waymire</w:t>
        <w:tab/>
        <w:tab/>
        <w:t xml:space="preserve">Omaha </w:t>
      </w:r>
    </w:p>
    <w:p>
      <w:pPr>
        <w:pStyle w:val="Normal"/>
        <w:tabs>
          <w:tab w:val="clear" w:pos="720"/>
          <w:tab w:val="left" w:pos="-240" w:leader="none"/>
          <w:tab w:val="left" w:pos="480" w:leader="none"/>
          <w:tab w:val="left" w:pos="1200" w:leader="none"/>
          <w:tab w:val="left" w:pos="1920" w:leader="none"/>
          <w:tab w:val="left" w:pos="2640" w:leader="none"/>
          <w:tab w:val="left" w:pos="3360" w:leader="none"/>
          <w:tab w:val="left" w:pos="4080" w:leader="none"/>
          <w:tab w:val="left" w:pos="4800" w:leader="none"/>
          <w:tab w:val="left" w:pos="5520" w:leader="none"/>
          <w:tab w:val="left" w:pos="6240" w:leader="none"/>
          <w:tab w:val="left" w:pos="6960" w:leader="none"/>
          <w:tab w:val="left" w:pos="7680" w:leader="none"/>
          <w:tab w:val="left" w:pos="8400" w:leader="none"/>
          <w:tab w:val="left" w:pos="9120" w:leader="none"/>
          <w:tab w:val="left" w:pos="9840" w:leader="none"/>
          <w:tab w:val="left" w:pos="10560" w:leader="none"/>
          <w:tab w:val="left" w:pos="11280" w:leader="none"/>
          <w:tab w:val="left" w:pos="12000" w:leader="none"/>
          <w:tab w:val="left" w:pos="12720" w:leader="none"/>
          <w:tab w:val="left" w:pos="13440" w:leader="none"/>
          <w:tab w:val="left" w:pos="14160" w:leader="none"/>
          <w:tab w:val="left" w:pos="14880" w:leader="none"/>
          <w:tab w:val="left" w:pos="15600" w:leader="none"/>
          <w:tab w:val="left" w:pos="16320" w:leader="none"/>
        </w:tabs>
        <w:ind w:start="480" w:end="480"/>
        <w:jc w:val="both"/>
        <w:rPr>
          <w:b/>
          <w:sz w:val="17"/>
        </w:rPr>
      </w:pPr>
      <w:r>
        <w:rPr>
          <w:b/>
          <w:sz w:val="17"/>
        </w:rPr>
        <w:tab/>
        <w:t>M. Bonnstetter</w:t>
        <w:tab/>
        <w:tab/>
        <w:t>Omaha</w:t>
        <w:tab/>
        <w:tab/>
        <w:tab/>
        <w:tab/>
        <w:t>P. Prigmore</w:t>
        <w:tab/>
        <w:tab/>
        <w:t>Omaha</w:t>
      </w:r>
    </w:p>
    <w:p>
      <w:pPr>
        <w:pStyle w:val="Normal"/>
        <w:tabs>
          <w:tab w:val="clear" w:pos="720"/>
          <w:tab w:val="left" w:pos="-240" w:leader="none"/>
          <w:tab w:val="left" w:pos="480" w:leader="none"/>
          <w:tab w:val="left" w:pos="1200" w:leader="none"/>
          <w:tab w:val="left" w:pos="1920" w:leader="none"/>
          <w:tab w:val="left" w:pos="2640" w:leader="none"/>
          <w:tab w:val="left" w:pos="3360" w:leader="none"/>
          <w:tab w:val="left" w:pos="4080" w:leader="none"/>
          <w:tab w:val="left" w:pos="4800" w:leader="none"/>
          <w:tab w:val="left" w:pos="5520" w:leader="none"/>
          <w:tab w:val="left" w:pos="6240" w:leader="none"/>
          <w:tab w:val="left" w:pos="6960" w:leader="none"/>
          <w:tab w:val="left" w:pos="7680" w:leader="none"/>
          <w:tab w:val="left" w:pos="8400" w:leader="none"/>
          <w:tab w:val="left" w:pos="9120" w:leader="none"/>
          <w:tab w:val="left" w:pos="9840" w:leader="none"/>
          <w:tab w:val="left" w:pos="10560" w:leader="none"/>
          <w:tab w:val="left" w:pos="11280" w:leader="none"/>
          <w:tab w:val="left" w:pos="12000" w:leader="none"/>
          <w:tab w:val="left" w:pos="12720" w:leader="none"/>
          <w:tab w:val="left" w:pos="13440" w:leader="none"/>
          <w:tab w:val="left" w:pos="14160" w:leader="none"/>
          <w:tab w:val="left" w:pos="14880" w:leader="none"/>
          <w:tab w:val="left" w:pos="15600" w:leader="none"/>
          <w:tab w:val="left" w:pos="16320" w:leader="none"/>
        </w:tabs>
        <w:ind w:start="480" w:end="480"/>
        <w:jc w:val="both"/>
        <w:rPr>
          <w:b/>
          <w:sz w:val="17"/>
        </w:rPr>
      </w:pPr>
      <w:r>
        <w:rPr>
          <w:b/>
          <w:sz w:val="17"/>
        </w:rPr>
        <w:tab/>
        <w:t>S. January</w:t>
        <w:tab/>
        <w:tab/>
        <w:t xml:space="preserve">Houston </w:t>
        <w:tab/>
        <w:tab/>
        <w:tab/>
        <w:tab/>
        <w:t>T. Kissner</w:t>
        <w:tab/>
        <w:tab/>
        <w:t>Omaha</w:t>
      </w:r>
    </w:p>
    <w:p>
      <w:pPr>
        <w:pStyle w:val="Normal"/>
        <w:tabs>
          <w:tab w:val="clear" w:pos="720"/>
          <w:tab w:val="left" w:pos="-240" w:leader="none"/>
          <w:tab w:val="left" w:pos="480" w:leader="none"/>
          <w:tab w:val="left" w:pos="1200" w:leader="none"/>
          <w:tab w:val="left" w:pos="1920" w:leader="none"/>
          <w:tab w:val="left" w:pos="2640" w:leader="none"/>
          <w:tab w:val="left" w:pos="3360" w:leader="none"/>
          <w:tab w:val="left" w:pos="4080" w:leader="none"/>
          <w:tab w:val="left" w:pos="4800" w:leader="none"/>
          <w:tab w:val="left" w:pos="5520" w:leader="none"/>
          <w:tab w:val="left" w:pos="6240" w:leader="none"/>
          <w:tab w:val="left" w:pos="6960" w:leader="none"/>
          <w:tab w:val="left" w:pos="7680" w:leader="none"/>
          <w:tab w:val="left" w:pos="8400" w:leader="none"/>
          <w:tab w:val="left" w:pos="9120" w:leader="none"/>
          <w:tab w:val="left" w:pos="9840" w:leader="none"/>
          <w:tab w:val="left" w:pos="10560" w:leader="none"/>
          <w:tab w:val="left" w:pos="11280" w:leader="none"/>
          <w:tab w:val="left" w:pos="12000" w:leader="none"/>
          <w:tab w:val="left" w:pos="12720" w:leader="none"/>
          <w:tab w:val="left" w:pos="13440" w:leader="none"/>
          <w:tab w:val="left" w:pos="14160" w:leader="none"/>
          <w:tab w:val="left" w:pos="14880" w:leader="none"/>
          <w:tab w:val="left" w:pos="15600" w:leader="none"/>
          <w:tab w:val="left" w:pos="16320" w:leader="none"/>
        </w:tabs>
        <w:ind w:hanging="720" w:start="1200" w:end="1200"/>
        <w:jc w:val="both"/>
        <w:rPr>
          <w:b/>
          <w:sz w:val="17"/>
        </w:rPr>
      </w:pPr>
      <w:r>
        <w:rPr>
          <w:b/>
          <w:sz w:val="17"/>
        </w:rPr>
        <w:tab/>
        <w:t>G. Spevak</w:t>
        <w:tab/>
        <w:tab/>
        <w:t>Omaha</w:t>
        <w:tab/>
        <w:tab/>
        <w:tab/>
        <w:tab/>
        <w:t xml:space="preserve">M. McGillivray </w:t>
        <w:tab/>
        <w:tab/>
        <w:t>Redfield</w:t>
      </w:r>
    </w:p>
    <w:p>
      <w:pPr>
        <w:pStyle w:val="Normal"/>
        <w:tabs>
          <w:tab w:val="clear" w:pos="720"/>
          <w:tab w:val="left" w:pos="-240" w:leader="none"/>
          <w:tab w:val="left" w:pos="480" w:leader="none"/>
          <w:tab w:val="left" w:pos="1200" w:leader="none"/>
          <w:tab w:val="left" w:pos="1920" w:leader="none"/>
          <w:tab w:val="left" w:pos="2640" w:leader="none"/>
          <w:tab w:val="left" w:pos="3360" w:leader="none"/>
          <w:tab w:val="left" w:pos="4080" w:leader="none"/>
          <w:tab w:val="left" w:pos="4800" w:leader="none"/>
          <w:tab w:val="left" w:pos="5520" w:leader="none"/>
          <w:tab w:val="left" w:pos="6240" w:leader="none"/>
          <w:tab w:val="left" w:pos="6960" w:leader="none"/>
          <w:tab w:val="left" w:pos="7680" w:leader="none"/>
          <w:tab w:val="left" w:pos="8400" w:leader="none"/>
          <w:tab w:val="left" w:pos="9120" w:leader="none"/>
          <w:tab w:val="left" w:pos="9840" w:leader="none"/>
          <w:tab w:val="left" w:pos="10560" w:leader="none"/>
          <w:tab w:val="left" w:pos="11280" w:leader="none"/>
          <w:tab w:val="left" w:pos="12000" w:leader="none"/>
          <w:tab w:val="left" w:pos="12720" w:leader="none"/>
          <w:tab w:val="left" w:pos="13440" w:leader="none"/>
          <w:tab w:val="left" w:pos="14160" w:leader="none"/>
          <w:tab w:val="left" w:pos="14880" w:leader="none"/>
          <w:tab w:val="left" w:pos="15600" w:leader="none"/>
          <w:tab w:val="left" w:pos="16320" w:leader="none"/>
        </w:tabs>
        <w:ind w:start="480" w:end="480"/>
        <w:jc w:val="both"/>
        <w:rPr>
          <w:b/>
          <w:sz w:val="17"/>
        </w:rPr>
      </w:pPr>
      <w:r>
        <w:rPr>
          <w:b/>
          <w:sz w:val="17"/>
        </w:rPr>
        <w:tab/>
        <w:t>L. Trevino</w:t>
        <w:tab/>
        <w:tab/>
        <w:t xml:space="preserve">Houston </w:t>
        <w:tab/>
        <w:tab/>
        <w:tab/>
        <w:tab/>
        <w:t>T. Halpin</w:t>
        <w:tab/>
        <w:tab/>
        <w:tab/>
        <w:t xml:space="preserve">Omaha </w:t>
        <w:tab/>
        <w:tab/>
        <w:tab/>
        <w:tab/>
        <w:tab/>
        <w:tab/>
      </w:r>
    </w:p>
    <w:p>
      <w:pPr>
        <w:pStyle w:val="Normal"/>
        <w:tabs>
          <w:tab w:val="clear" w:pos="720"/>
          <w:tab w:val="left" w:pos="-240" w:leader="none"/>
          <w:tab w:val="left" w:pos="480" w:leader="none"/>
          <w:tab w:val="left" w:pos="1200" w:leader="none"/>
          <w:tab w:val="left" w:pos="1920" w:leader="none"/>
          <w:tab w:val="left" w:pos="2640" w:leader="none"/>
          <w:tab w:val="left" w:pos="3360" w:leader="none"/>
          <w:tab w:val="left" w:pos="4080" w:leader="none"/>
          <w:tab w:val="left" w:pos="4800" w:leader="none"/>
          <w:tab w:val="left" w:pos="5520" w:leader="none"/>
          <w:tab w:val="left" w:pos="6240" w:leader="none"/>
          <w:tab w:val="left" w:pos="6960" w:leader="none"/>
          <w:tab w:val="left" w:pos="7680" w:leader="none"/>
          <w:tab w:val="left" w:pos="8400" w:leader="none"/>
          <w:tab w:val="left" w:pos="9120" w:leader="none"/>
          <w:tab w:val="left" w:pos="9840" w:leader="none"/>
          <w:tab w:val="left" w:pos="10560" w:leader="none"/>
          <w:tab w:val="left" w:pos="11280" w:leader="none"/>
          <w:tab w:val="left" w:pos="12000" w:leader="none"/>
          <w:tab w:val="left" w:pos="12720" w:leader="none"/>
          <w:tab w:val="left" w:pos="13440" w:leader="none"/>
          <w:tab w:val="left" w:pos="14160" w:leader="none"/>
          <w:tab w:val="left" w:pos="14880" w:leader="none"/>
          <w:tab w:val="left" w:pos="15600" w:leader="none"/>
          <w:tab w:val="left" w:pos="16320" w:leader="none"/>
        </w:tabs>
        <w:ind w:start="480" w:end="480"/>
        <w:jc w:val="both"/>
        <w:rPr>
          <w:b/>
          <w:sz w:val="17"/>
        </w:rPr>
      </w:pPr>
      <w:r>
        <w:rPr>
          <w:b/>
          <w:sz w:val="17"/>
        </w:rPr>
        <w:tab/>
        <w:t>R. Jolly</w:t>
        <w:tab/>
        <w:tab/>
        <w:tab/>
        <w:t>Albuquerque</w:t>
        <w:tab/>
        <w:tab/>
        <w:tab/>
        <w:t>R. Wilson</w:t>
        <w:tab/>
        <w:tab/>
        <w:tab/>
        <w:t xml:space="preserve">Omaha </w:t>
      </w:r>
    </w:p>
    <w:p>
      <w:pPr>
        <w:pStyle w:val="Normal"/>
        <w:tabs>
          <w:tab w:val="clear" w:pos="720"/>
          <w:tab w:val="left" w:pos="-240" w:leader="none"/>
          <w:tab w:val="left" w:pos="480" w:leader="none"/>
          <w:tab w:val="left" w:pos="1200" w:leader="none"/>
          <w:tab w:val="left" w:pos="1920" w:leader="none"/>
          <w:tab w:val="left" w:pos="2640" w:leader="none"/>
          <w:tab w:val="left" w:pos="3360" w:leader="none"/>
          <w:tab w:val="left" w:pos="4080" w:leader="none"/>
          <w:tab w:val="left" w:pos="4800" w:leader="none"/>
          <w:tab w:val="left" w:pos="5520" w:leader="none"/>
          <w:tab w:val="left" w:pos="6240" w:leader="none"/>
          <w:tab w:val="left" w:pos="6960" w:leader="none"/>
          <w:tab w:val="left" w:pos="7680" w:leader="none"/>
          <w:tab w:val="left" w:pos="8400" w:leader="none"/>
          <w:tab w:val="left" w:pos="9120" w:leader="none"/>
          <w:tab w:val="left" w:pos="9840" w:leader="none"/>
          <w:tab w:val="left" w:pos="10560" w:leader="none"/>
          <w:tab w:val="left" w:pos="11280" w:leader="none"/>
          <w:tab w:val="left" w:pos="12000" w:leader="none"/>
          <w:tab w:val="left" w:pos="12720" w:leader="none"/>
          <w:tab w:val="left" w:pos="13440" w:leader="none"/>
          <w:tab w:val="left" w:pos="14160" w:leader="none"/>
          <w:tab w:val="left" w:pos="14880" w:leader="none"/>
          <w:tab w:val="left" w:pos="15600" w:leader="none"/>
          <w:tab w:val="left" w:pos="16320" w:leader="none"/>
        </w:tabs>
        <w:ind w:start="480" w:end="480"/>
        <w:jc w:val="both"/>
        <w:rPr>
          <w:b/>
          <w:sz w:val="17"/>
        </w:rPr>
      </w:pPr>
      <w:r>
        <w:rPr>
          <w:b/>
          <w:sz w:val="17"/>
        </w:rPr>
        <w:tab/>
        <w:t>K. Earl</w:t>
        <w:tab/>
        <w:t xml:space="preserve"> </w:t>
        <w:tab/>
        <w:tab/>
        <w:t>Amarillo</w:t>
        <w:tab/>
        <w:tab/>
        <w:tab/>
        <w:tab/>
        <w:t>T. Mertz</w:t>
        <w:tab/>
        <w:tab/>
        <w:tab/>
        <w:t xml:space="preserve">Beatrice Region  </w:t>
      </w:r>
    </w:p>
    <w:p>
      <w:pPr>
        <w:pStyle w:val="Normal"/>
        <w:tabs>
          <w:tab w:val="clear" w:pos="720"/>
          <w:tab w:val="left" w:pos="-240" w:leader="none"/>
          <w:tab w:val="left" w:pos="480" w:leader="none"/>
          <w:tab w:val="left" w:pos="1200" w:leader="none"/>
          <w:tab w:val="left" w:pos="1920" w:leader="none"/>
          <w:tab w:val="left" w:pos="2640" w:leader="none"/>
          <w:tab w:val="left" w:pos="3360" w:leader="none"/>
          <w:tab w:val="left" w:pos="4080" w:leader="none"/>
          <w:tab w:val="left" w:pos="4800" w:leader="none"/>
          <w:tab w:val="left" w:pos="5520" w:leader="none"/>
          <w:tab w:val="left" w:pos="6240" w:leader="none"/>
          <w:tab w:val="left" w:pos="6960" w:leader="none"/>
          <w:tab w:val="left" w:pos="7680" w:leader="none"/>
          <w:tab w:val="left" w:pos="8400" w:leader="none"/>
          <w:tab w:val="left" w:pos="9120" w:leader="none"/>
          <w:tab w:val="left" w:pos="9840" w:leader="none"/>
          <w:tab w:val="left" w:pos="10560" w:leader="none"/>
          <w:tab w:val="left" w:pos="11280" w:leader="none"/>
          <w:tab w:val="left" w:pos="12000" w:leader="none"/>
          <w:tab w:val="left" w:pos="12720" w:leader="none"/>
          <w:tab w:val="left" w:pos="13440" w:leader="none"/>
          <w:tab w:val="left" w:pos="14160" w:leader="none"/>
          <w:tab w:val="left" w:pos="14880" w:leader="none"/>
          <w:tab w:val="left" w:pos="15600" w:leader="none"/>
          <w:tab w:val="left" w:pos="16320" w:leader="none"/>
        </w:tabs>
        <w:ind w:start="480" w:end="480"/>
        <w:jc w:val="both"/>
        <w:rPr>
          <w:b/>
          <w:sz w:val="17"/>
        </w:rPr>
      </w:pPr>
      <w:r>
        <w:rPr>
          <w:b/>
          <w:sz w:val="17"/>
        </w:rPr>
        <w:tab/>
        <w:t>T. Galassini</w:t>
        <w:tab/>
        <w:tab/>
        <w:t>Houston</w:t>
        <w:tab/>
        <w:tab/>
        <w:tab/>
        <w:tab/>
        <w:t>T. Gilbert</w:t>
        <w:tab/>
        <w:tab/>
        <w:t>Des Moines Region</w:t>
      </w:r>
    </w:p>
    <w:p>
      <w:pPr>
        <w:pStyle w:val="Normal"/>
        <w:tabs>
          <w:tab w:val="clear" w:pos="720"/>
          <w:tab w:val="left" w:pos="-240" w:leader="none"/>
          <w:tab w:val="left" w:pos="480" w:leader="none"/>
          <w:tab w:val="left" w:pos="1200" w:leader="none"/>
          <w:tab w:val="left" w:pos="1920" w:leader="none"/>
          <w:tab w:val="left" w:pos="2640" w:leader="none"/>
          <w:tab w:val="left" w:pos="3360" w:leader="none"/>
          <w:tab w:val="left" w:pos="4080" w:leader="none"/>
          <w:tab w:val="left" w:pos="4800" w:leader="none"/>
          <w:tab w:val="left" w:pos="5520" w:leader="none"/>
          <w:tab w:val="left" w:pos="6240" w:leader="none"/>
          <w:tab w:val="left" w:pos="6960" w:leader="none"/>
          <w:tab w:val="left" w:pos="7680" w:leader="none"/>
          <w:tab w:val="left" w:pos="8400" w:leader="none"/>
          <w:tab w:val="left" w:pos="9120" w:leader="none"/>
          <w:tab w:val="left" w:pos="9840" w:leader="none"/>
          <w:tab w:val="left" w:pos="10560" w:leader="none"/>
          <w:tab w:val="left" w:pos="11280" w:leader="none"/>
          <w:tab w:val="left" w:pos="12000" w:leader="none"/>
          <w:tab w:val="left" w:pos="12720" w:leader="none"/>
          <w:tab w:val="left" w:pos="13440" w:leader="none"/>
          <w:tab w:val="left" w:pos="14160" w:leader="none"/>
          <w:tab w:val="left" w:pos="14880" w:leader="none"/>
          <w:tab w:val="left" w:pos="15600" w:leader="none"/>
          <w:tab w:val="left" w:pos="16320" w:leader="none"/>
        </w:tabs>
        <w:ind w:start="480" w:end="480"/>
        <w:jc w:val="both"/>
        <w:rPr>
          <w:b/>
          <w:sz w:val="17"/>
        </w:rPr>
      </w:pPr>
      <w:r>
        <w:rPr>
          <w:b/>
          <w:sz w:val="17"/>
        </w:rPr>
        <w:tab/>
        <w:t>R. Smith</w:t>
        <w:tab/>
        <w:tab/>
        <w:tab/>
        <w:t>Omaha</w:t>
        <w:tab/>
        <w:tab/>
        <w:tab/>
        <w:tab/>
        <w:t>M. Adelmann</w:t>
        <w:tab/>
        <w:tab/>
        <w:t xml:space="preserve">Minneapolis </w:t>
      </w:r>
    </w:p>
    <w:p>
      <w:pPr>
        <w:pStyle w:val="Normal"/>
        <w:tabs>
          <w:tab w:val="clear" w:pos="720"/>
          <w:tab w:val="left" w:pos="-240" w:leader="none"/>
          <w:tab w:val="left" w:pos="480" w:leader="none"/>
          <w:tab w:val="left" w:pos="1200" w:leader="none"/>
          <w:tab w:val="left" w:pos="1920" w:leader="none"/>
          <w:tab w:val="left" w:pos="2640" w:leader="none"/>
          <w:tab w:val="left" w:pos="3360" w:leader="none"/>
          <w:tab w:val="left" w:pos="4080" w:leader="none"/>
          <w:tab w:val="left" w:pos="4800" w:leader="none"/>
          <w:tab w:val="left" w:pos="5520" w:leader="none"/>
          <w:tab w:val="left" w:pos="6240" w:leader="none"/>
          <w:tab w:val="left" w:pos="6960" w:leader="none"/>
          <w:tab w:val="left" w:pos="7680" w:leader="none"/>
          <w:tab w:val="left" w:pos="8400" w:leader="none"/>
          <w:tab w:val="left" w:pos="9120" w:leader="none"/>
          <w:tab w:val="left" w:pos="9840" w:leader="none"/>
          <w:tab w:val="left" w:pos="10560" w:leader="none"/>
          <w:tab w:val="left" w:pos="11280" w:leader="none"/>
          <w:tab w:val="left" w:pos="12000" w:leader="none"/>
          <w:tab w:val="left" w:pos="12720" w:leader="none"/>
          <w:tab w:val="left" w:pos="13440" w:leader="none"/>
          <w:tab w:val="left" w:pos="14160" w:leader="none"/>
          <w:tab w:val="left" w:pos="14880" w:leader="none"/>
          <w:tab w:val="left" w:pos="15600" w:leader="none"/>
          <w:tab w:val="left" w:pos="16320" w:leader="none"/>
        </w:tabs>
        <w:ind w:start="480" w:end="480"/>
        <w:jc w:val="both"/>
        <w:rPr>
          <w:b/>
          <w:sz w:val="17"/>
        </w:rPr>
      </w:pPr>
      <w:r>
        <w:rPr>
          <w:b/>
          <w:sz w:val="17"/>
        </w:rPr>
        <w:tab/>
        <w:t>D. Odneal</w:t>
        <w:tab/>
        <w:tab/>
        <w:t>Hugoton Region</w:t>
        <w:tab/>
        <w:tab/>
        <w:tab/>
        <w:t>R. Matthews</w:t>
        <w:tab/>
        <w:tab/>
        <w:t>Houston</w:t>
      </w:r>
    </w:p>
    <w:p>
      <w:pPr>
        <w:pStyle w:val="Normal"/>
        <w:tabs>
          <w:tab w:val="clear" w:pos="720"/>
          <w:tab w:val="left" w:pos="-240" w:leader="none"/>
          <w:tab w:val="left" w:pos="480" w:leader="none"/>
          <w:tab w:val="left" w:pos="1200" w:leader="none"/>
          <w:tab w:val="left" w:pos="1920" w:leader="none"/>
          <w:tab w:val="left" w:pos="2640" w:leader="none"/>
          <w:tab w:val="left" w:pos="3360" w:leader="none"/>
          <w:tab w:val="left" w:pos="4080" w:leader="none"/>
          <w:tab w:val="left" w:pos="4800" w:leader="none"/>
          <w:tab w:val="left" w:pos="5520" w:leader="none"/>
          <w:tab w:val="left" w:pos="6240" w:leader="none"/>
          <w:tab w:val="left" w:pos="6960" w:leader="none"/>
          <w:tab w:val="left" w:pos="7680" w:leader="none"/>
          <w:tab w:val="left" w:pos="8400" w:leader="none"/>
          <w:tab w:val="left" w:pos="9120" w:leader="none"/>
          <w:tab w:val="left" w:pos="9840" w:leader="none"/>
          <w:tab w:val="left" w:pos="10560" w:leader="none"/>
          <w:tab w:val="left" w:pos="11280" w:leader="none"/>
          <w:tab w:val="left" w:pos="12000" w:leader="none"/>
          <w:tab w:val="left" w:pos="12720" w:leader="none"/>
          <w:tab w:val="left" w:pos="13440" w:leader="none"/>
          <w:tab w:val="left" w:pos="14160" w:leader="none"/>
          <w:tab w:val="left" w:pos="14880" w:leader="none"/>
          <w:tab w:val="left" w:pos="15600" w:leader="none"/>
          <w:tab w:val="left" w:pos="16320" w:leader="none"/>
        </w:tabs>
        <w:ind w:start="480" w:end="480"/>
        <w:jc w:val="both"/>
        <w:rPr>
          <w:b/>
          <w:sz w:val="17"/>
        </w:rPr>
      </w:pPr>
      <w:r>
        <w:rPr>
          <w:b/>
          <w:sz w:val="17"/>
        </w:rPr>
        <w:tab/>
        <w:t>D. Trayer</w:t>
        <w:tab/>
        <w:tab/>
        <w:tab/>
        <w:t>Omaha</w:t>
        <w:tab/>
        <w:tab/>
        <w:tab/>
        <w:tab/>
        <w:t>G. Cade</w:t>
        <w:tab/>
        <w:tab/>
        <w:tab/>
        <w:t xml:space="preserve">Omaha </w:t>
        <w:tab/>
        <w:tab/>
        <w:tab/>
      </w:r>
    </w:p>
    <w:p>
      <w:pPr>
        <w:pStyle w:val="Normal"/>
        <w:tabs>
          <w:tab w:val="clear" w:pos="720"/>
          <w:tab w:val="left" w:pos="-240" w:leader="none"/>
          <w:tab w:val="left" w:pos="480" w:leader="none"/>
          <w:tab w:val="left" w:pos="1200" w:leader="none"/>
          <w:tab w:val="left" w:pos="1920" w:leader="none"/>
          <w:tab w:val="left" w:pos="2640" w:leader="none"/>
          <w:tab w:val="left" w:pos="3360" w:leader="none"/>
          <w:tab w:val="left" w:pos="4080" w:leader="none"/>
          <w:tab w:val="left" w:pos="4800" w:leader="none"/>
          <w:tab w:val="left" w:pos="5520" w:leader="none"/>
          <w:tab w:val="left" w:pos="6240" w:leader="none"/>
          <w:tab w:val="left" w:pos="6960" w:leader="none"/>
          <w:tab w:val="left" w:pos="7680" w:leader="none"/>
          <w:tab w:val="left" w:pos="8400" w:leader="none"/>
          <w:tab w:val="left" w:pos="9120" w:leader="none"/>
          <w:tab w:val="left" w:pos="9840" w:leader="none"/>
          <w:tab w:val="left" w:pos="10560" w:leader="none"/>
          <w:tab w:val="left" w:pos="11280" w:leader="none"/>
          <w:tab w:val="left" w:pos="12000" w:leader="none"/>
          <w:tab w:val="left" w:pos="12720" w:leader="none"/>
          <w:tab w:val="left" w:pos="13440" w:leader="none"/>
          <w:tab w:val="left" w:pos="14160" w:leader="none"/>
          <w:tab w:val="left" w:pos="14880" w:leader="none"/>
          <w:tab w:val="left" w:pos="15600" w:leader="none"/>
          <w:tab w:val="left" w:pos="16320" w:leader="none"/>
        </w:tabs>
        <w:ind w:end="480"/>
        <w:jc w:val="both"/>
        <w:rPr>
          <w:b/>
          <w:sz w:val="17"/>
        </w:rPr>
      </w:pPr>
      <w:r>
        <w:rPr>
          <w:b/>
          <w:sz w:val="17"/>
        </w:rPr>
        <w:tab/>
        <w:tab/>
        <w:t>M. Underwood</w:t>
        <w:tab/>
        <w:tab/>
        <w:t>Minneapolis</w:t>
        <w:tab/>
        <w:tab/>
        <w:tab/>
        <w:t>D. Sinclair</w:t>
        <w:tab/>
        <w:tab/>
        <w:t>Houston</w:t>
      </w:r>
    </w:p>
    <w:p>
      <w:pPr>
        <w:pStyle w:val="Normal"/>
        <w:tabs>
          <w:tab w:val="clear" w:pos="720"/>
          <w:tab w:val="left" w:pos="-240" w:leader="none"/>
          <w:tab w:val="left" w:pos="480" w:leader="none"/>
          <w:tab w:val="left" w:pos="1200" w:leader="none"/>
          <w:tab w:val="left" w:pos="1920" w:leader="none"/>
          <w:tab w:val="left" w:pos="2640" w:leader="none"/>
          <w:tab w:val="left" w:pos="3360" w:leader="none"/>
          <w:tab w:val="left" w:pos="4080" w:leader="none"/>
          <w:tab w:val="left" w:pos="4800" w:leader="none"/>
          <w:tab w:val="left" w:pos="5520" w:leader="none"/>
          <w:tab w:val="left" w:pos="6240" w:leader="none"/>
          <w:tab w:val="left" w:pos="6960" w:leader="none"/>
          <w:tab w:val="left" w:pos="7680" w:leader="none"/>
          <w:tab w:val="left" w:pos="8400" w:leader="none"/>
          <w:tab w:val="left" w:pos="9120" w:leader="none"/>
          <w:tab w:val="left" w:pos="9840" w:leader="none"/>
          <w:tab w:val="left" w:pos="10560" w:leader="none"/>
          <w:tab w:val="left" w:pos="11280" w:leader="none"/>
          <w:tab w:val="left" w:pos="12000" w:leader="none"/>
          <w:tab w:val="left" w:pos="12720" w:leader="none"/>
          <w:tab w:val="left" w:pos="13440" w:leader="none"/>
          <w:tab w:val="left" w:pos="14160" w:leader="none"/>
          <w:tab w:val="left" w:pos="14880" w:leader="none"/>
          <w:tab w:val="left" w:pos="15600" w:leader="none"/>
          <w:tab w:val="left" w:pos="16320" w:leader="none"/>
        </w:tabs>
        <w:ind w:end="480"/>
        <w:jc w:val="both"/>
        <w:rPr>
          <w:b/>
          <w:sz w:val="17"/>
        </w:rPr>
      </w:pPr>
      <w:r>
        <w:rPr>
          <w:b/>
          <w:sz w:val="17"/>
        </w:rPr>
        <w:tab/>
        <w:tab/>
        <w:t>C. Graham</w:t>
        <w:tab/>
        <w:tab/>
        <w:t>Omaha</w:t>
        <w:tab/>
        <w:tab/>
        <w:tab/>
        <w:tab/>
        <w:t>J. Butler</w:t>
        <w:tab/>
        <w:tab/>
        <w:tab/>
        <w:t>Houston</w:t>
      </w:r>
    </w:p>
    <w:p>
      <w:pPr>
        <w:pStyle w:val="Heading4"/>
        <w:rPr/>
      </w:pPr>
      <w:r>
        <w:rPr/>
        <w:t>S. Thomas</w:t>
        <w:tab/>
        <w:tab/>
        <w:t>Omaha</w:t>
        <w:tab/>
        <w:tab/>
        <w:tab/>
        <w:tab/>
        <w:t>Nancy Bagot</w:t>
        <w:tab/>
        <w:tab/>
        <w:t>Washington, DC</w:t>
      </w:r>
    </w:p>
    <w:p>
      <w:pPr>
        <w:pStyle w:val="Normal"/>
        <w:rPr/>
      </w:pPr>
      <w:r>
        <w:rPr/>
        <w:tab/>
        <w:t xml:space="preserve">          </w:t>
      </w:r>
      <w:r>
        <w:rPr>
          <w:b/>
          <w:sz w:val="17"/>
        </w:rPr>
        <w:t>S. Clark</w:t>
        <w:tab/>
        <w:tab/>
        <w:t xml:space="preserve">            Midland</w:t>
        <w:tab/>
        <w:tab/>
        <w:tab/>
        <w:t xml:space="preserve">           M. VanNorden</w:t>
        <w:tab/>
        <w:t xml:space="preserve">            Washington, DC</w:t>
      </w:r>
    </w:p>
    <w:p>
      <w:pPr>
        <w:pStyle w:val="Normal"/>
        <w:rPr>
          <w:b/>
          <w:sz w:val="17"/>
        </w:rPr>
      </w:pPr>
      <w:r>
        <w:rPr>
          <w:b/>
          <w:sz w:val="17"/>
        </w:rPr>
        <w:tab/>
        <w:t xml:space="preserve">           S. Herber</w:t>
        <w:tab/>
        <w:tab/>
        <w:t xml:space="preserve">            Houston</w:t>
      </w:r>
    </w:p>
    <w:p>
      <w:pPr>
        <w:pStyle w:val="Normal"/>
        <w:rPr>
          <w:b/>
          <w:sz w:val="17"/>
        </w:rPr>
      </w:pPr>
      <w:r>
        <w:rPr>
          <w:b/>
          <w:sz w:val="17"/>
        </w:rPr>
        <w:tab/>
        <w:t xml:space="preserve">            </w:t>
      </w:r>
    </w:p>
    <w:p>
      <w:pPr>
        <w:pStyle w:val="Normal"/>
        <w:tabs>
          <w:tab w:val="clear" w:pos="720"/>
          <w:tab w:val="left" w:pos="-240" w:leader="none"/>
          <w:tab w:val="left" w:pos="480" w:leader="none"/>
          <w:tab w:val="left" w:pos="1200" w:leader="none"/>
          <w:tab w:val="left" w:pos="1920" w:leader="none"/>
          <w:tab w:val="left" w:pos="2640" w:leader="none"/>
          <w:tab w:val="left" w:pos="3360" w:leader="none"/>
          <w:tab w:val="left" w:pos="4080" w:leader="none"/>
          <w:tab w:val="left" w:pos="4800" w:leader="none"/>
          <w:tab w:val="left" w:pos="5520" w:leader="none"/>
          <w:tab w:val="left" w:pos="6240" w:leader="none"/>
          <w:tab w:val="left" w:pos="6960" w:leader="none"/>
          <w:tab w:val="left" w:pos="7680" w:leader="none"/>
          <w:tab w:val="left" w:pos="8400" w:leader="none"/>
          <w:tab w:val="left" w:pos="9120" w:leader="none"/>
          <w:tab w:val="left" w:pos="9840" w:leader="none"/>
          <w:tab w:val="left" w:pos="10560" w:leader="none"/>
          <w:tab w:val="left" w:pos="11280" w:leader="none"/>
          <w:tab w:val="left" w:pos="12000" w:leader="none"/>
          <w:tab w:val="left" w:pos="12720" w:leader="none"/>
          <w:tab w:val="left" w:pos="13440" w:leader="none"/>
          <w:tab w:val="left" w:pos="14160" w:leader="none"/>
          <w:tab w:val="left" w:pos="14880" w:leader="none"/>
          <w:tab w:val="left" w:pos="15600" w:leader="none"/>
          <w:tab w:val="left" w:pos="16320" w:leader="none"/>
        </w:tabs>
        <w:ind w:start="480" w:end="480"/>
        <w:jc w:val="both"/>
        <w:rPr>
          <w:b/>
          <w:sz w:val="12"/>
        </w:rPr>
      </w:pPr>
      <w:r>
        <w:rPr>
          <w:b/>
          <w:sz w:val="12"/>
        </w:rPr>
        <w:t>Attachment</w:t>
      </w:r>
    </w:p>
    <w:p>
      <w:pPr>
        <w:pStyle w:val="Body"/>
        <w:widowControl/>
        <w:ind w:firstLine="408" w:end="0"/>
        <w:rPr>
          <w:b/>
          <w:sz w:val="12"/>
        </w:rPr>
      </w:pPr>
      <w:r>
        <w:rPr>
          <w:b/>
          <w:sz w:val="12"/>
        </w:rPr>
        <w:t>STATUS.DOC</w:t>
      </w:r>
    </w:p>
    <w:p>
      <w:pPr>
        <w:pStyle w:val="Body"/>
        <w:widowControl/>
        <w:rPr/>
      </w:pPr>
      <w:r>
        <w:rPr/>
      </w:r>
    </w:p>
    <w:p>
      <w:pPr>
        <w:pStyle w:val="Body"/>
        <w:widowControl/>
        <w:rPr/>
      </w:pPr>
      <w:r>
        <w:rPr/>
      </w:r>
    </w:p>
    <w:p>
      <w:pPr>
        <w:sectPr>
          <w:type w:val="nextPage"/>
          <w:pgSz w:w="12240" w:h="15840"/>
          <w:pgMar w:left="720" w:right="806" w:gutter="0" w:header="0" w:top="1152" w:footer="0" w:bottom="446"/>
          <w:pgNumType w:fmt="decimal"/>
          <w:formProt w:val="false"/>
          <w:textDirection w:val="lrTb"/>
          <w:docGrid w:type="default" w:linePitch="360" w:charSpace="0"/>
        </w:sectPr>
        <w:pStyle w:val="Normal"/>
        <w:tabs>
          <w:tab w:val="clear" w:pos="720"/>
          <w:tab w:val="left" w:pos="-240" w:leader="none"/>
          <w:tab w:val="left" w:pos="480" w:leader="none"/>
          <w:tab w:val="left" w:pos="1200" w:leader="none"/>
          <w:tab w:val="left" w:pos="1920" w:leader="none"/>
          <w:tab w:val="left" w:pos="2640" w:leader="none"/>
          <w:tab w:val="left" w:pos="3360" w:leader="none"/>
          <w:tab w:val="left" w:pos="4080" w:leader="none"/>
          <w:tab w:val="left" w:pos="4800" w:leader="none"/>
          <w:tab w:val="left" w:pos="5520" w:leader="none"/>
          <w:tab w:val="left" w:pos="6240" w:leader="none"/>
          <w:tab w:val="left" w:pos="6960" w:leader="none"/>
          <w:tab w:val="left" w:pos="7680" w:leader="none"/>
          <w:tab w:val="left" w:pos="8400" w:leader="none"/>
          <w:tab w:val="left" w:pos="9120" w:leader="none"/>
          <w:tab w:val="left" w:pos="9840" w:leader="none"/>
          <w:tab w:val="left" w:pos="10560" w:leader="none"/>
          <w:tab w:val="left" w:pos="11280" w:leader="none"/>
          <w:tab w:val="left" w:pos="12000" w:leader="none"/>
          <w:tab w:val="left" w:pos="12720" w:leader="none"/>
          <w:tab w:val="left" w:pos="13440" w:leader="none"/>
          <w:tab w:val="left" w:pos="14160" w:leader="none"/>
          <w:tab w:val="left" w:pos="14880" w:leader="none"/>
          <w:tab w:val="left" w:pos="15600" w:leader="none"/>
          <w:tab w:val="left" w:pos="16320" w:leader="none"/>
        </w:tabs>
        <w:ind w:start="480" w:end="480"/>
        <w:jc w:val="both"/>
        <w:rPr>
          <w:b/>
          <w:sz w:val="19"/>
        </w:rPr>
      </w:pPr>
      <w:r>
        <w:rPr>
          <w:b/>
          <w:sz w:val="19"/>
        </w:rPr>
      </w:r>
    </w:p>
    <w:p>
      <w:pPr>
        <w:pStyle w:val="Normal"/>
        <w:tabs>
          <w:tab w:val="clear" w:pos="720"/>
          <w:tab w:val="center" w:pos="4920" w:leader="none"/>
        </w:tabs>
        <w:jc w:val="both"/>
        <w:rPr>
          <w:b/>
          <w:sz w:val="19"/>
        </w:rPr>
      </w:pPr>
      <w:r>
        <w:rPr>
          <w:b/>
          <w:sz w:val="19"/>
        </w:rPr>
      </w:r>
    </w:p>
    <w:p>
      <w:pPr>
        <w:pStyle w:val="Normal"/>
        <w:tabs>
          <w:tab w:val="clear" w:pos="720"/>
          <w:tab w:val="center" w:pos="4920" w:leader="none"/>
        </w:tabs>
        <w:jc w:val="both"/>
        <w:rPr>
          <w:sz w:val="19"/>
        </w:rPr>
      </w:pPr>
      <w:r>
        <w:rPr>
          <w:sz w:val="19"/>
        </w:rPr>
      </w:r>
    </w:p>
    <w:p>
      <w:pPr>
        <w:pStyle w:val="Normal"/>
        <w:tabs>
          <w:tab w:val="clear" w:pos="720"/>
          <w:tab w:val="center" w:pos="4920" w:leader="none"/>
        </w:tabs>
        <w:jc w:val="both"/>
        <w:rPr>
          <w:sz w:val="19"/>
        </w:rPr>
      </w:pPr>
      <w:r>
        <w:rPr>
          <w:sz w:val="19"/>
        </w:rPr>
      </w:r>
    </w:p>
    <w:p>
      <w:pPr>
        <w:pStyle w:val="Normal"/>
        <w:tabs>
          <w:tab w:val="clear" w:pos="720"/>
          <w:tab w:val="center" w:pos="4920" w:leader="none"/>
        </w:tabs>
        <w:jc w:val="both"/>
        <w:rPr>
          <w:sz w:val="19"/>
        </w:rPr>
      </w:pPr>
      <w:r>
        <w:rPr>
          <w:sz w:val="19"/>
        </w:rPr>
      </w:r>
    </w:p>
    <w:p>
      <w:pPr>
        <w:pStyle w:val="Normal"/>
        <w:tabs>
          <w:tab w:val="clear" w:pos="720"/>
          <w:tab w:val="center" w:pos="4920" w:leader="none"/>
        </w:tabs>
        <w:jc w:val="both"/>
        <w:rPr>
          <w:sz w:val="19"/>
        </w:rPr>
      </w:pPr>
      <w:r>
        <w:rPr>
          <w:sz w:val="19"/>
        </w:rPr>
      </w:r>
    </w:p>
    <w:p>
      <w:pPr>
        <w:pStyle w:val="Normal"/>
        <w:tabs>
          <w:tab w:val="clear" w:pos="720"/>
          <w:tab w:val="center" w:pos="4920" w:leader="none"/>
        </w:tabs>
        <w:jc w:val="both"/>
        <w:rPr>
          <w:sz w:val="19"/>
        </w:rPr>
      </w:pPr>
      <w:r>
        <w:rPr>
          <w:sz w:val="19"/>
        </w:rPr>
      </w:r>
    </w:p>
    <w:p>
      <w:pPr>
        <w:pStyle w:val="Normal"/>
        <w:tabs>
          <w:tab w:val="clear" w:pos="720"/>
          <w:tab w:val="center" w:pos="4920" w:leader="none"/>
        </w:tabs>
        <w:jc w:val="both"/>
        <w:rPr>
          <w:sz w:val="19"/>
        </w:rPr>
      </w:pPr>
      <w:r>
        <w:rPr>
          <w:sz w:val="19"/>
        </w:rPr>
      </w:r>
    </w:p>
    <w:p>
      <w:pPr>
        <w:pStyle w:val="Normal"/>
        <w:tabs>
          <w:tab w:val="clear" w:pos="720"/>
          <w:tab w:val="center" w:pos="4920" w:leader="none"/>
        </w:tabs>
        <w:jc w:val="both"/>
        <w:rPr>
          <w:sz w:val="19"/>
        </w:rPr>
      </w:pPr>
      <w:r>
        <w:rPr>
          <w:sz w:val="19"/>
        </w:rPr>
      </w:r>
    </w:p>
    <w:p>
      <w:pPr>
        <w:pStyle w:val="Normal"/>
        <w:tabs>
          <w:tab w:val="clear" w:pos="720"/>
          <w:tab w:val="center" w:pos="4920" w:leader="none"/>
        </w:tabs>
        <w:jc w:val="both"/>
        <w:rPr>
          <w:sz w:val="19"/>
        </w:rPr>
      </w:pPr>
      <w:r>
        <w:rPr>
          <w:sz w:val="19"/>
        </w:rPr>
      </w:r>
    </w:p>
    <w:p>
      <w:pPr>
        <w:pStyle w:val="Normal"/>
        <w:tabs>
          <w:tab w:val="clear" w:pos="720"/>
          <w:tab w:val="center" w:pos="4920" w:leader="none"/>
        </w:tabs>
        <w:jc w:val="both"/>
        <w:rPr>
          <w:sz w:val="19"/>
        </w:rPr>
      </w:pPr>
      <w:r>
        <w:rPr>
          <w:sz w:val="19"/>
        </w:rPr>
      </w:r>
    </w:p>
    <w:p>
      <w:pPr>
        <w:pStyle w:val="Normal"/>
        <w:tabs>
          <w:tab w:val="clear" w:pos="720"/>
          <w:tab w:val="center" w:pos="4920" w:leader="none"/>
        </w:tabs>
        <w:jc w:val="both"/>
        <w:rPr>
          <w:sz w:val="19"/>
        </w:rPr>
      </w:pPr>
      <w:r>
        <w:rPr>
          <w:sz w:val="19"/>
        </w:rPr>
      </w:r>
    </w:p>
    <w:p>
      <w:pPr>
        <w:pStyle w:val="Normal"/>
        <w:tabs>
          <w:tab w:val="clear" w:pos="720"/>
          <w:tab w:val="center" w:pos="4920" w:leader="none"/>
        </w:tabs>
        <w:jc w:val="both"/>
        <w:rPr>
          <w:sz w:val="19"/>
        </w:rPr>
      </w:pPr>
      <w:r>
        <w:rPr>
          <w:sz w:val="19"/>
        </w:rPr>
      </w:r>
    </w:p>
    <w:p>
      <w:pPr>
        <w:pStyle w:val="Normal"/>
        <w:tabs>
          <w:tab w:val="clear" w:pos="720"/>
          <w:tab w:val="center" w:pos="4920" w:leader="none"/>
        </w:tabs>
        <w:jc w:val="both"/>
        <w:rPr>
          <w:sz w:val="19"/>
        </w:rPr>
      </w:pPr>
      <w:r>
        <w:rPr>
          <w:sz w:val="19"/>
        </w:rPr>
      </w:r>
    </w:p>
    <w:p>
      <w:pPr>
        <w:pStyle w:val="Normal"/>
        <w:tabs>
          <w:tab w:val="clear" w:pos="720"/>
          <w:tab w:val="center" w:pos="4920" w:leader="none"/>
        </w:tabs>
        <w:jc w:val="both"/>
        <w:rPr>
          <w:sz w:val="19"/>
        </w:rPr>
      </w:pPr>
      <w:r>
        <w:rPr>
          <w:sz w:val="19"/>
        </w:rPr>
      </w:r>
    </w:p>
    <w:p>
      <w:pPr>
        <w:pStyle w:val="Normal"/>
        <w:tabs>
          <w:tab w:val="clear" w:pos="720"/>
          <w:tab w:val="center" w:pos="4920" w:leader="none"/>
        </w:tabs>
        <w:jc w:val="both"/>
        <w:rPr>
          <w:sz w:val="19"/>
        </w:rPr>
      </w:pPr>
      <w:r>
        <w:rPr>
          <w:sz w:val="19"/>
        </w:rPr>
      </w:r>
    </w:p>
    <w:p>
      <w:pPr>
        <w:pStyle w:val="Normal"/>
        <w:tabs>
          <w:tab w:val="clear" w:pos="720"/>
          <w:tab w:val="center" w:pos="4920" w:leader="none"/>
        </w:tabs>
        <w:jc w:val="both"/>
        <w:rPr>
          <w:sz w:val="19"/>
        </w:rPr>
      </w:pPr>
      <w:r>
        <w:rPr>
          <w:sz w:val="19"/>
        </w:rPr>
      </w:r>
    </w:p>
    <w:p>
      <w:pPr>
        <w:pStyle w:val="Normal"/>
        <w:tabs>
          <w:tab w:val="clear" w:pos="720"/>
          <w:tab w:val="center" w:pos="4920" w:leader="none"/>
        </w:tabs>
        <w:jc w:val="both"/>
        <w:rPr>
          <w:sz w:val="19"/>
        </w:rPr>
      </w:pPr>
      <w:r>
        <w:rPr>
          <w:sz w:val="19"/>
        </w:rPr>
      </w:r>
    </w:p>
    <w:p>
      <w:pPr>
        <w:pStyle w:val="Normal"/>
        <w:tabs>
          <w:tab w:val="clear" w:pos="720"/>
          <w:tab w:val="center" w:pos="4920" w:leader="none"/>
        </w:tabs>
        <w:jc w:val="center"/>
        <w:rPr>
          <w:b/>
          <w:sz w:val="35"/>
        </w:rPr>
      </w:pPr>
      <w:r>
        <w:rPr>
          <w:b/>
          <w:sz w:val="35"/>
        </w:rPr>
        <w:t>STATUS  OF  CURRENT  PROJECTS</w:t>
      </w:r>
    </w:p>
    <w:p>
      <w:pPr>
        <w:pStyle w:val="Normal"/>
        <w:tabs>
          <w:tab w:val="clear" w:pos="720"/>
          <w:tab w:val="center" w:pos="4920" w:leader="none"/>
        </w:tabs>
        <w:rPr>
          <w:b/>
          <w:sz w:val="35"/>
        </w:rPr>
      </w:pPr>
      <w:r>
        <w:rPr>
          <w:b/>
          <w:sz w:val="35"/>
        </w:rPr>
      </w:r>
    </w:p>
    <w:p>
      <w:pPr>
        <w:pStyle w:val="Normal"/>
        <w:tabs>
          <w:tab w:val="clear" w:pos="720"/>
          <w:tab w:val="center" w:pos="4920" w:leader="none"/>
        </w:tabs>
        <w:rPr>
          <w:b/>
          <w:sz w:val="35"/>
        </w:rPr>
      </w:pPr>
      <w:r>
        <w:rPr>
          <w:b/>
          <w:sz w:val="35"/>
        </w:rPr>
        <w:t xml:space="preserve">                                                                                                                                                                                                                                                                                                                                                                                                                                                                       </w:t>
      </w:r>
    </w:p>
    <w:p>
      <w:pPr>
        <w:pStyle w:val="Normal"/>
        <w:tabs>
          <w:tab w:val="clear" w:pos="720"/>
          <w:tab w:val="center" w:pos="4920" w:leader="none"/>
        </w:tabs>
        <w:rPr>
          <w:b/>
          <w:sz w:val="35"/>
        </w:rPr>
      </w:pPr>
      <w:r>
        <w:rPr>
          <w:b/>
          <w:sz w:val="35"/>
        </w:rPr>
      </w:r>
    </w:p>
    <w:p>
      <w:pPr>
        <w:sectPr>
          <w:footerReference w:type="default" r:id="rId3"/>
          <w:footerReference w:type="first" r:id="rId4"/>
          <w:type w:val="nextPage"/>
          <w:pgSz w:w="12240" w:h="15840"/>
          <w:pgMar w:left="1195" w:right="1195" w:gutter="0" w:header="0" w:top="720" w:footer="1440" w:bottom="1496"/>
          <w:pgNumType w:start="0" w:fmt="decimal"/>
          <w:formProt w:val="false"/>
          <w:titlePg/>
          <w:textDirection w:val="lrTb"/>
          <w:docGrid w:type="default" w:linePitch="360" w:charSpace="0"/>
        </w:sectPr>
      </w:pPr>
    </w:p>
    <w:p>
      <w:pPr>
        <w:pStyle w:val="TOC1"/>
        <w:jc w:val="center"/>
        <w:rPr>
          <w:rFonts w:ascii="Courier" w:hAnsi="Courier" w:cs="Courier"/>
          <w:caps w:val="false"/>
          <w:smallCaps w:val="false"/>
          <w:sz w:val="28"/>
        </w:rPr>
      </w:pPr>
      <w:r>
        <w:rPr>
          <w:caps w:val="false"/>
          <w:smallCaps w:val="false"/>
          <w:sz w:val="28"/>
        </w:rPr>
        <w:t>TABLE OF CONTENTS</w:t>
      </w:r>
    </w:p>
    <w:p>
      <w:pPr>
        <w:pStyle w:val="TOC1"/>
        <w:jc w:val="end"/>
        <w:rPr>
          <w:rFonts w:ascii="Courier" w:hAnsi="Courier" w:cs="Courier"/>
          <w:b w:val="false"/>
          <w:caps w:val="false"/>
          <w:smallCaps w:val="false"/>
          <w:sz w:val="19"/>
        </w:rPr>
      </w:pPr>
      <w:r>
        <w:rPr>
          <w:rFonts w:cs="Courier" w:ascii="Courier" w:hAnsi="Courier"/>
          <w:b w:val="false"/>
          <w:caps w:val="false"/>
          <w:smallCaps w:val="false"/>
          <w:sz w:val="19"/>
        </w:rPr>
        <w:t>PAGE NO.</w:t>
      </w:r>
    </w:p>
    <w:sdt>
      <w:sdtPr>
        <w:docPartObj>
          <w:docPartGallery w:val="Table of Contents"/>
          <w:docPartUnique w:val="true"/>
        </w:docPartObj>
      </w:sdtPr>
      <w:sdtContent>
        <w:p>
          <w:pPr>
            <w:pStyle w:val="TOC1"/>
            <w:rPr>
              <w:b w:val="false"/>
              <w:lang w:val="en-CA" w:eastAsia="en-CA"/>
            </w:rPr>
          </w:pPr>
          <w:r>
            <w:fldChar w:fldCharType="begin"/>
          </w:r>
          <w:r>
            <w:rPr>
              <w:b w:val="false"/>
              <w:lang w:val="en-CA" w:eastAsia="en-CA"/>
            </w:rPr>
            <w:instrText xml:space="preserve"> TOC \o "1-3" </w:instrText>
          </w:r>
          <w:r>
            <w:rPr>
              <w:b w:val="false"/>
              <w:lang w:val="en-CA" w:eastAsia="en-CA"/>
            </w:rPr>
            <w:fldChar w:fldCharType="separate"/>
          </w:r>
          <w:r>
            <w:rPr>
              <w:b w:val="false"/>
              <w:lang w:val="en-CA" w:eastAsia="en-CA"/>
            </w:rPr>
            <w:t>FERC AUTHORIZATION RECEIVED</w:t>
            <w:tab/>
          </w:r>
          <w:r>
            <w:fldChar w:fldCharType="begin"/>
          </w:r>
          <w:r>
            <w:rPr>
              <w:b w:val="false"/>
              <w:lang w:val="en-CA" w:eastAsia="en-CA"/>
            </w:rPr>
            <w:instrText xml:space="preserve"> GOTOBUTTON _Toc427576807  </w:instrText>
          </w:r>
          <w:r>
            <w:rPr>
              <w:b w:val="false"/>
              <w:lang w:val="en-CA" w:eastAsia="en-CA"/>
            </w:rPr>
          </w:r>
          <w:r>
            <w:rPr>
              <w:b w:val="false"/>
              <w:lang w:val="en-CA" w:eastAsia="en-CA"/>
            </w:rPr>
            <w:fldChar w:fldCharType="separate"/>
          </w:r>
          <w:r>
            <w:rPr>
              <w:b w:val="false"/>
              <w:lang w:val="en-CA" w:eastAsia="en-CA"/>
            </w:rPr>
          </w:r>
          <w:r/>
          <w:r>
            <w:rPr>
              <w:b w:val="false"/>
              <w:lang w:val="en-CA" w:eastAsia="en-CA"/>
            </w:rPr>
            <w:fldChar w:fldCharType="end"/>
          </w:r>
          <w:r>
            <w:rPr>
              <w:b w:val="false"/>
              <w:lang w:val="en-CA" w:eastAsia="en-CA"/>
            </w:rPr>
          </w:r>
        </w:p>
        <w:p>
          <w:pPr>
            <w:pStyle w:val="TOC1"/>
            <w:rPr>
              <w:b w:val="false"/>
              <w:lang w:val="en-CA" w:eastAsia="en-CA"/>
            </w:rPr>
          </w:pPr>
          <w:r>
            <w:rPr>
              <w:b w:val="false"/>
              <w:lang w:val="en-CA" w:eastAsia="en-CA"/>
            </w:rPr>
            <w:t>NEW APPLICATIONS FILED</w:t>
            <w:tab/>
          </w:r>
          <w:r>
            <w:fldChar w:fldCharType="begin"/>
          </w:r>
          <w:r>
            <w:rPr>
              <w:b w:val="false"/>
              <w:lang w:val="en-CA" w:eastAsia="en-CA"/>
            </w:rPr>
            <w:instrText xml:space="preserve"> GOTOBUTTON _Toc427576808  </w:instrText>
          </w:r>
          <w:r>
            <w:rPr>
              <w:b w:val="false"/>
              <w:lang w:val="en-CA" w:eastAsia="en-CA"/>
            </w:rPr>
          </w:r>
          <w:r>
            <w:rPr>
              <w:b w:val="false"/>
              <w:lang w:val="en-CA" w:eastAsia="en-CA"/>
            </w:rPr>
            <w:fldChar w:fldCharType="separate"/>
          </w:r>
          <w:r>
            <w:rPr>
              <w:b w:val="false"/>
              <w:lang w:val="en-CA" w:eastAsia="en-CA"/>
            </w:rPr>
          </w:r>
          <w:r/>
          <w:r>
            <w:rPr>
              <w:b w:val="false"/>
              <w:lang w:val="en-CA" w:eastAsia="en-CA"/>
            </w:rPr>
            <w:fldChar w:fldCharType="end"/>
          </w:r>
          <w:r>
            <w:rPr>
              <w:b w:val="false"/>
              <w:lang w:val="en-CA" w:eastAsia="en-CA"/>
            </w:rPr>
          </w:r>
        </w:p>
        <w:p>
          <w:pPr>
            <w:pStyle w:val="TOC1"/>
            <w:rPr>
              <w:b w:val="false"/>
              <w:lang w:val="en-CA" w:eastAsia="en-CA"/>
            </w:rPr>
          </w:pPr>
          <w:r>
            <w:rPr>
              <w:b w:val="false"/>
              <w:lang w:val="en-CA" w:eastAsia="en-CA"/>
            </w:rPr>
            <w:t>OTHER DISPOSITIONS OF PROJECTS</w:t>
            <w:tab/>
          </w:r>
          <w:r>
            <w:fldChar w:fldCharType="begin"/>
          </w:r>
          <w:r>
            <w:rPr>
              <w:b w:val="false"/>
              <w:lang w:val="en-CA" w:eastAsia="en-CA"/>
            </w:rPr>
            <w:instrText xml:space="preserve"> GOTOBUTTON _Toc427576809  </w:instrText>
          </w:r>
          <w:r>
            <w:rPr>
              <w:b w:val="false"/>
              <w:lang w:val="en-CA" w:eastAsia="en-CA"/>
            </w:rPr>
          </w:r>
          <w:r>
            <w:rPr>
              <w:b w:val="false"/>
              <w:lang w:val="en-CA" w:eastAsia="en-CA"/>
            </w:rPr>
            <w:fldChar w:fldCharType="separate"/>
          </w:r>
          <w:r>
            <w:rPr>
              <w:b w:val="false"/>
              <w:lang w:val="en-CA" w:eastAsia="en-CA"/>
            </w:rPr>
          </w:r>
          <w:r/>
          <w:r>
            <w:rPr>
              <w:b w:val="false"/>
              <w:lang w:val="en-CA" w:eastAsia="en-CA"/>
            </w:rPr>
            <w:fldChar w:fldCharType="end"/>
          </w:r>
          <w:r>
            <w:rPr>
              <w:b w:val="false"/>
              <w:lang w:val="en-CA" w:eastAsia="en-CA"/>
            </w:rPr>
          </w:r>
        </w:p>
        <w:p>
          <w:pPr>
            <w:pStyle w:val="TOC1"/>
            <w:rPr>
              <w:b w:val="false"/>
              <w:lang w:val="en-CA" w:eastAsia="en-CA"/>
            </w:rPr>
          </w:pPr>
          <w:r>
            <w:rPr>
              <w:b w:val="false"/>
              <w:lang w:val="en-CA" w:eastAsia="en-CA"/>
            </w:rPr>
            <w:t>CERTIFICATES PENDING REHEARING</w:t>
            <w:tab/>
          </w:r>
          <w:r>
            <w:fldChar w:fldCharType="begin"/>
          </w:r>
          <w:r>
            <w:rPr>
              <w:b w:val="false"/>
              <w:lang w:val="en-CA" w:eastAsia="en-CA"/>
            </w:rPr>
            <w:instrText xml:space="preserve"> GOTOBUTTON _Toc427576810  </w:instrText>
          </w:r>
          <w:r>
            <w:rPr>
              <w:b w:val="false"/>
              <w:lang w:val="en-CA" w:eastAsia="en-CA"/>
            </w:rPr>
          </w:r>
          <w:r>
            <w:rPr>
              <w:b w:val="false"/>
              <w:lang w:val="en-CA" w:eastAsia="en-CA"/>
            </w:rPr>
            <w:fldChar w:fldCharType="separate"/>
          </w:r>
          <w:r>
            <w:rPr>
              <w:b w:val="false"/>
              <w:lang w:val="en-CA" w:eastAsia="en-CA"/>
            </w:rPr>
          </w:r>
          <w:r/>
          <w:r>
            <w:rPr>
              <w:b w:val="false"/>
              <w:lang w:val="en-CA" w:eastAsia="en-CA"/>
            </w:rPr>
            <w:fldChar w:fldCharType="end"/>
          </w:r>
          <w:r>
            <w:rPr>
              <w:b w:val="false"/>
              <w:lang w:val="en-CA" w:eastAsia="en-CA"/>
            </w:rPr>
          </w:r>
        </w:p>
        <w:p>
          <w:pPr>
            <w:pStyle w:val="TOC1"/>
            <w:rPr>
              <w:b w:val="false"/>
              <w:lang w:val="en-CA" w:eastAsia="en-CA"/>
            </w:rPr>
          </w:pPr>
          <w:r>
            <w:rPr>
              <w:b w:val="false"/>
              <w:lang w:val="en-CA" w:eastAsia="en-CA"/>
            </w:rPr>
            <w:t>CERTIFICATES APPROVED WITH CONDITIONS</w:t>
            <w:tab/>
          </w:r>
          <w:r>
            <w:fldChar w:fldCharType="begin"/>
          </w:r>
          <w:r>
            <w:rPr>
              <w:b w:val="false"/>
              <w:lang w:val="en-CA" w:eastAsia="en-CA"/>
            </w:rPr>
            <w:instrText xml:space="preserve"> GOTOBUTTON _Toc427576811  </w:instrText>
          </w:r>
          <w:r>
            <w:rPr>
              <w:b w:val="false"/>
              <w:lang w:val="en-CA" w:eastAsia="en-CA"/>
            </w:rPr>
          </w:r>
          <w:r>
            <w:rPr>
              <w:b w:val="false"/>
              <w:lang w:val="en-CA" w:eastAsia="en-CA"/>
            </w:rPr>
            <w:fldChar w:fldCharType="separate"/>
          </w:r>
          <w:r>
            <w:rPr>
              <w:b w:val="false"/>
              <w:lang w:val="en-CA" w:eastAsia="en-CA"/>
            </w:rPr>
          </w:r>
          <w:r/>
          <w:r>
            <w:rPr>
              <w:b w:val="false"/>
              <w:lang w:val="en-CA" w:eastAsia="en-CA"/>
            </w:rPr>
            <w:fldChar w:fldCharType="end"/>
          </w:r>
          <w:r>
            <w:rPr>
              <w:b w:val="false"/>
              <w:lang w:val="en-CA" w:eastAsia="en-CA"/>
            </w:rPr>
          </w:r>
        </w:p>
        <w:p>
          <w:pPr>
            <w:pStyle w:val="TOC1"/>
            <w:rPr>
              <w:b w:val="false"/>
              <w:lang w:val="en-CA" w:eastAsia="en-CA"/>
            </w:rPr>
          </w:pPr>
          <w:r>
            <w:rPr>
              <w:b w:val="false"/>
              <w:lang w:val="en-CA" w:eastAsia="en-CA"/>
            </w:rPr>
            <w:t>CERTIFICATES PENDING FERC APPROVAL</w:t>
            <w:tab/>
          </w:r>
          <w:r>
            <w:fldChar w:fldCharType="begin"/>
          </w:r>
          <w:r>
            <w:rPr>
              <w:b w:val="false"/>
              <w:lang w:val="en-CA" w:eastAsia="en-CA"/>
            </w:rPr>
            <w:instrText xml:space="preserve"> GOTOBUTTON _Toc427576812  </w:instrText>
          </w:r>
          <w:r>
            <w:rPr>
              <w:b w:val="false"/>
              <w:lang w:val="en-CA" w:eastAsia="en-CA"/>
            </w:rPr>
          </w:r>
          <w:r>
            <w:rPr>
              <w:b w:val="false"/>
              <w:lang w:val="en-CA" w:eastAsia="en-CA"/>
            </w:rPr>
            <w:fldChar w:fldCharType="separate"/>
          </w:r>
          <w:r>
            <w:rPr>
              <w:b w:val="false"/>
              <w:lang w:val="en-CA" w:eastAsia="en-CA"/>
            </w:rPr>
          </w:r>
          <w:r/>
          <w:r>
            <w:rPr>
              <w:b w:val="false"/>
              <w:lang w:val="en-CA" w:eastAsia="en-CA"/>
            </w:rPr>
            <w:fldChar w:fldCharType="end"/>
          </w:r>
          <w:r>
            <w:rPr>
              <w:b w:val="false"/>
              <w:lang w:val="en-CA" w:eastAsia="en-CA"/>
            </w:rPr>
          </w:r>
        </w:p>
        <w:p>
          <w:pPr>
            <w:pStyle w:val="TOC1"/>
            <w:rPr>
              <w:b w:val="false"/>
              <w:lang w:val="en-CA" w:eastAsia="en-CA"/>
            </w:rPr>
          </w:pPr>
          <w:r>
            <w:rPr>
              <w:b w:val="false"/>
              <w:lang w:val="en-CA" w:eastAsia="en-CA"/>
            </w:rPr>
            <w:t>PROJECTS TO BE FILED</w:t>
            <w:tab/>
          </w:r>
          <w:r>
            <w:fldChar w:fldCharType="begin"/>
          </w:r>
          <w:r>
            <w:rPr>
              <w:b w:val="false"/>
              <w:lang w:val="en-CA" w:eastAsia="en-CA"/>
            </w:rPr>
            <w:instrText xml:space="preserve"> GOTOBUTTON _Toc427576813  </w:instrText>
          </w:r>
          <w:r>
            <w:rPr>
              <w:b w:val="false"/>
              <w:lang w:val="en-CA" w:eastAsia="en-CA"/>
            </w:rPr>
          </w:r>
          <w:r>
            <w:rPr>
              <w:b w:val="false"/>
              <w:lang w:val="en-CA" w:eastAsia="en-CA"/>
            </w:rPr>
            <w:fldChar w:fldCharType="separate"/>
          </w:r>
          <w:r>
            <w:rPr>
              <w:b w:val="false"/>
              <w:lang w:val="en-CA" w:eastAsia="en-CA"/>
            </w:rPr>
          </w:r>
          <w:r/>
          <w:r>
            <w:rPr>
              <w:b w:val="false"/>
              <w:lang w:val="en-CA" w:eastAsia="en-CA"/>
            </w:rPr>
            <w:fldChar w:fldCharType="end"/>
          </w:r>
          <w:r>
            <w:rPr>
              <w:b w:val="false"/>
              <w:lang w:val="en-CA" w:eastAsia="en-CA"/>
            </w:rPr>
          </w:r>
          <w:r>
            <w:rPr>
              <w:b w:val="false"/>
              <w:lang w:val="en-CA" w:eastAsia="en-CA"/>
            </w:rPr>
            <w:fldChar w:fldCharType="end"/>
          </w:r>
        </w:p>
      </w:sdtContent>
    </w:sdt>
    <w:p>
      <w:pPr>
        <w:pStyle w:val="TOC1"/>
        <w:jc w:val="center"/>
        <w:rPr>
          <w:rFonts w:ascii="Courier" w:hAnsi="Courier" w:cs="Courier"/>
          <w:b w:val="false"/>
          <w:caps w:val="false"/>
          <w:smallCaps w:val="false"/>
          <w:sz w:val="28"/>
          <w:lang w:val="en-CA" w:eastAsia="en-CA"/>
        </w:rPr>
      </w:pPr>
      <w:r>
        <w:rPr>
          <w:rFonts w:cs="Courier" w:ascii="Courier" w:hAnsi="Courier"/>
          <w:b w:val="false"/>
          <w:caps w:val="false"/>
          <w:smallCaps w:val="false"/>
          <w:sz w:val="28"/>
          <w:lang w:val="en-CA" w:eastAsia="en-CA"/>
        </w:rPr>
      </w:r>
    </w:p>
    <w:p>
      <w:pPr>
        <w:pStyle w:val="Normal"/>
        <w:tabs>
          <w:tab w:val="clear" w:pos="720"/>
          <w:tab w:val="center" w:pos="4920" w:leader="none"/>
        </w:tabs>
        <w:rPr>
          <w:rFonts w:ascii="Courier" w:hAnsi="Courier" w:cs="Courier"/>
          <w:caps/>
          <w:sz w:val="19"/>
        </w:rPr>
      </w:pPr>
      <w:r>
        <w:rPr>
          <w:rFonts w:cs="Courier" w:ascii="Courier" w:hAnsi="Courier"/>
          <w:caps/>
          <w:sz w:val="19"/>
        </w:rPr>
      </w:r>
    </w:p>
    <w:p>
      <w:pPr>
        <w:sectPr>
          <w:type w:val="continuous"/>
          <w:pgSz w:w="12240" w:h="15840"/>
          <w:pgMar w:left="1195" w:right="1195" w:gutter="0" w:header="0" w:top="720" w:footer="1440" w:bottom="1496"/>
          <w:formProt w:val="false"/>
          <w:titlePg/>
          <w:textDirection w:val="lrTb"/>
          <w:docGrid w:type="default" w:linePitch="360" w:charSpace="0"/>
        </w:sectPr>
      </w:pPr>
    </w:p>
    <w:p>
      <w:pPr>
        <w:pStyle w:val="Heading1"/>
        <w:pBdr>
          <w:top w:val="single" w:sz="12" w:space="1" w:color="000000" w:shadow="1"/>
          <w:left w:val="single" w:sz="12" w:space="1" w:color="000000" w:shadow="1"/>
          <w:bottom w:val="single" w:sz="12" w:space="1" w:color="000000" w:shadow="1"/>
          <w:right w:val="single" w:sz="12" w:space="1" w:color="000000" w:shadow="1"/>
        </w:pBdr>
        <w:ind w:hanging="0" w:start="0"/>
        <w:rPr>
          <w:sz w:val="25"/>
        </w:rPr>
      </w:pPr>
      <w:r>
        <w:rPr/>
        <w:t>FERC AUTHORIZATION RECEIVED</w:t>
      </w:r>
      <w:r>
        <w:fldChar w:fldCharType="begin"/>
      </w:r>
      <w:r>
        <w:rPr/>
        <w:instrText xml:space="preserve"> XE "FERC AUTHORIZATION RECEIVED" </w:instrText>
      </w:r>
      <w:r>
        <w:rPr/>
        <w:fldChar w:fldCharType="separate"/>
      </w:r>
      <w:r>
        <w:rPr/>
      </w:r>
      <w:r>
        <w:rPr/>
        <w:fldChar w:fldCharType="end"/>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rPr>
          <w:b/>
          <w:sz w:val="25"/>
        </w:rPr>
      </w:pPr>
      <w:r>
        <w:rPr>
          <w:b/>
          <w:sz w:val="25"/>
        </w:rPr>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rPr>
          <w:b/>
          <w:sz w:val="22"/>
        </w:rPr>
      </w:pPr>
      <w:r>
        <w:rPr>
          <w:b/>
          <w:sz w:val="22"/>
        </w:rPr>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center"/>
        <w:rPr>
          <w:b/>
          <w:sz w:val="22"/>
          <w:u w:val="single"/>
        </w:rPr>
      </w:pPr>
      <w:r>
        <w:rPr>
          <w:b/>
          <w:sz w:val="22"/>
          <w:u w:val="single"/>
        </w:rPr>
        <w:t>TRANSWESTERN PIPELINE COMPANY</w:t>
      </w:r>
    </w:p>
    <w:p>
      <w:pPr>
        <w:pStyle w:val="Heading8"/>
        <w:tabs>
          <w:tab w:val="clear" w:pos="0"/>
          <w:tab w:val="left" w:pos="-720" w:leader="none"/>
          <w:tab w:val="left" w:pos="720" w:leader="none"/>
          <w:tab w:val="left" w:pos="1440" w:leader="none"/>
          <w:tab w:val="left" w:pos="2160" w:leader="none"/>
          <w:tab w:val="left" w:pos="5760" w:leader="none"/>
        </w:tabs>
        <w:rPr>
          <w:rFonts w:ascii="Times New Roman" w:hAnsi="Times New Roman" w:cs="Times New Roman"/>
          <w:b w:val="false"/>
          <w:sz w:val="22"/>
          <w:u w:val="single"/>
        </w:rPr>
      </w:pPr>
      <w:r>
        <w:rPr>
          <w:rFonts w:cs="Times New Roman" w:ascii="Times New Roman" w:hAnsi="Times New Roman"/>
          <w:b w:val="false"/>
          <w:sz w:val="22"/>
          <w:u w:val="single"/>
        </w:rPr>
      </w:r>
    </w:p>
    <w:p>
      <w:pPr>
        <w:pStyle w:val="Heading8"/>
        <w:tabs>
          <w:tab w:val="clear" w:pos="0"/>
          <w:tab w:val="left" w:pos="-720" w:leader="none"/>
          <w:tab w:val="left" w:pos="720" w:leader="none"/>
          <w:tab w:val="left" w:pos="1440" w:leader="none"/>
          <w:tab w:val="left" w:pos="2160" w:leader="none"/>
          <w:tab w:val="left" w:pos="5760" w:leader="none"/>
        </w:tabs>
        <w:rPr>
          <w:rFonts w:ascii="Times New Roman" w:hAnsi="Times New Roman" w:cs="Times New Roman"/>
          <w:sz w:val="22"/>
        </w:rPr>
      </w:pPr>
      <w:r>
        <w:rPr>
          <w:rFonts w:cs="Times New Roman" w:ascii="Times New Roman" w:hAnsi="Times New Roman"/>
          <w:sz w:val="22"/>
        </w:rPr>
      </w:r>
    </w:p>
    <w:p>
      <w:pPr>
        <w:pStyle w:val="Heading8"/>
        <w:tabs>
          <w:tab w:val="clear" w:pos="0"/>
          <w:tab w:val="left" w:pos="-720" w:leader="none"/>
          <w:tab w:val="left" w:pos="720" w:leader="none"/>
          <w:tab w:val="left" w:pos="1440" w:leader="none"/>
          <w:tab w:val="left" w:pos="2160" w:leader="none"/>
          <w:tab w:val="left" w:pos="5760" w:leader="none"/>
        </w:tabs>
        <w:rPr>
          <w:sz w:val="22"/>
        </w:rPr>
      </w:pPr>
      <w:r>
        <w:rPr>
          <w:sz w:val="22"/>
        </w:rPr>
        <w:t>NONE</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rPr>
          <w:sz w:val="22"/>
        </w:rPr>
      </w:pPr>
      <w:r>
        <w:rPr>
          <w:sz w:val="22"/>
        </w:rPr>
      </w:r>
    </w:p>
    <w:p>
      <w:pPr>
        <w:pStyle w:val="Normal"/>
        <w:tabs>
          <w:tab w:val="left" w:pos="-720" w:leader="none"/>
          <w:tab w:val="left" w:pos="720" w:leader="none"/>
          <w:tab w:val="left" w:pos="1440" w:leader="none"/>
          <w:tab w:val="left" w:pos="2160" w:leader="none"/>
          <w:tab w:val="left" w:pos="5760" w:leader="none"/>
        </w:tabs>
        <w:ind w:hanging="1440" w:start="1440" w:end="0"/>
        <w:jc w:val="both"/>
        <w:rPr>
          <w:sz w:val="22"/>
        </w:rPr>
      </w:pPr>
      <w:r>
        <w:rPr>
          <w:sz w:val="22"/>
        </w:rPr>
      </w:r>
    </w:p>
    <w:p>
      <w:pPr>
        <w:pStyle w:val="Heading9"/>
        <w:ind w:hanging="0" w:start="0"/>
        <w:rPr>
          <w:rFonts w:ascii="Times New Roman" w:hAnsi="Times New Roman" w:cs="Times New Roman"/>
          <w:sz w:val="22"/>
        </w:rPr>
      </w:pPr>
      <w:r>
        <w:rPr>
          <w:rFonts w:cs="Times New Roman" w:ascii="Times New Roman" w:hAnsi="Times New Roman"/>
          <w:sz w:val="22"/>
        </w:rPr>
        <w:t>NORTHERN NATURAL GAS COMPANY</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rFonts w:ascii="Times New Roman" w:hAnsi="Times New Roman" w:cs="Times New Roman"/>
          <w:sz w:val="22"/>
        </w:rPr>
      </w:pPr>
      <w:r>
        <w:rPr>
          <w:rFonts w:cs="Times New Roman"/>
          <w:sz w:val="22"/>
        </w:rPr>
      </w:r>
    </w:p>
    <w:p>
      <w:pPr>
        <w:pStyle w:val="Normal"/>
        <w:tabs>
          <w:tab w:val="left" w:pos="-720" w:leader="none"/>
          <w:tab w:val="left" w:pos="720" w:leader="none"/>
          <w:tab w:val="left" w:pos="1440" w:leader="none"/>
          <w:tab w:val="left" w:pos="2160" w:leader="none"/>
          <w:tab w:val="left" w:pos="5760" w:leader="none"/>
        </w:tabs>
        <w:ind w:hanging="1440" w:start="1440" w:end="0"/>
        <w:jc w:val="both"/>
        <w:rPr/>
      </w:pPr>
      <w:r>
        <w:rPr>
          <w:sz w:val="22"/>
        </w:rPr>
        <w:t>CP98-132-001</w:t>
        <w:tab/>
      </w:r>
      <w:r>
        <w:rPr>
          <w:b/>
          <w:sz w:val="22"/>
        </w:rPr>
        <w:t>C&amp;D-LINE EXTENSIONS</w:t>
      </w:r>
      <w:r>
        <w:rPr>
          <w:sz w:val="22"/>
        </w:rPr>
        <w:t xml:space="preserve"> - Section 7(c) application</w:t>
      </w:r>
      <w:r>
        <w:rPr>
          <w:rFonts w:cs="Arial" w:ascii="Arial" w:hAnsi="Arial"/>
          <w:spacing w:val="-3"/>
          <w:sz w:val="24"/>
        </w:rPr>
        <w:t xml:space="preserve"> </w:t>
      </w:r>
      <w:r>
        <w:rPr>
          <w:spacing w:val="-3"/>
          <w:sz w:val="22"/>
        </w:rPr>
        <w:t>to amend the certificate of public convenience and necessity granted by order issued June 30, 1998 in Docket No. CP98-132-000.  The amended application requests authorization to construct and operate approximately 5.6 miles of pipe, with appurtenances,</w:t>
      </w:r>
      <w:r>
        <w:rPr>
          <w:rFonts w:cs="Arial" w:ascii="Arial" w:hAnsi="Arial"/>
          <w:spacing w:val="-3"/>
          <w:sz w:val="24"/>
        </w:rPr>
        <w:t xml:space="preserve"> </w:t>
      </w:r>
      <w:r>
        <w:rPr>
          <w:spacing w:val="-3"/>
          <w:sz w:val="22"/>
        </w:rPr>
        <w:t>rather than construct the originally authorized facilities</w:t>
      </w:r>
      <w:r>
        <w:rPr>
          <w:rFonts w:cs="Arial" w:ascii="Arial" w:hAnsi="Arial"/>
          <w:spacing w:val="-3"/>
          <w:sz w:val="22"/>
        </w:rPr>
        <w:t xml:space="preserve">. </w:t>
      </w:r>
      <w:r>
        <w:rPr>
          <w:spacing w:val="-3"/>
          <w:sz w:val="22"/>
        </w:rPr>
        <w:t xml:space="preserve"> </w:t>
      </w:r>
      <w:r>
        <w:rPr>
          <w:b/>
          <w:bCs/>
          <w:spacing w:val="-3"/>
          <w:sz w:val="22"/>
        </w:rPr>
        <w:t>Order issued</w:t>
      </w:r>
      <w:r>
        <w:rPr>
          <w:b/>
          <w:bCs/>
          <w:sz w:val="22"/>
        </w:rPr>
        <w:t xml:space="preserve"> February 23, 2001, grants the amendment and approves presumption for rolled in rate treatment.  Certificate accepted on March 2, 2001.</w:t>
      </w:r>
    </w:p>
    <w:p>
      <w:pPr>
        <w:pStyle w:val="Normal"/>
        <w:tabs>
          <w:tab w:val="left" w:pos="-720" w:leader="none"/>
          <w:tab w:val="left" w:pos="720" w:leader="none"/>
          <w:tab w:val="left" w:pos="1440" w:leader="none"/>
          <w:tab w:val="left" w:pos="2160" w:leader="none"/>
          <w:tab w:val="left" w:pos="5760" w:leader="none"/>
        </w:tabs>
        <w:ind w:hanging="1440" w:start="1440" w:end="0"/>
        <w:jc w:val="both"/>
        <w:rPr/>
      </w:pPr>
      <w:r>
        <w:rPr>
          <w:sz w:val="22"/>
        </w:rPr>
        <w:tab/>
        <w:tab/>
      </w:r>
      <w:r>
        <w:rPr>
          <w:b/>
          <w:bCs/>
          <w:sz w:val="22"/>
        </w:rPr>
        <w:t>REMAINING CONDITIONS:</w:t>
      </w:r>
    </w:p>
    <w:p>
      <w:pPr>
        <w:pStyle w:val="Normal"/>
        <w:tabs>
          <w:tab w:val="left" w:pos="-720" w:leader="none"/>
          <w:tab w:val="left" w:pos="720" w:leader="none"/>
          <w:tab w:val="left" w:pos="1440" w:leader="none"/>
          <w:tab w:val="left" w:pos="2160" w:leader="none"/>
          <w:tab w:val="left" w:pos="5760" w:leader="none"/>
        </w:tabs>
        <w:ind w:hanging="1440" w:start="1440" w:end="0"/>
        <w:jc w:val="both"/>
        <w:rPr>
          <w:b/>
          <w:bCs/>
          <w:sz w:val="22"/>
        </w:rPr>
      </w:pPr>
      <w:r>
        <w:rPr>
          <w:b/>
          <w:bCs/>
          <w:sz w:val="22"/>
        </w:rPr>
        <w:tab/>
        <w:tab/>
        <w:t>Executed firm contract; Pre-construction affirmative statement and Director’s letter to commence construction.</w:t>
      </w:r>
    </w:p>
    <w:p>
      <w:pPr>
        <w:pStyle w:val="Normal"/>
        <w:tabs>
          <w:tab w:val="left" w:pos="-720" w:leader="none"/>
          <w:tab w:val="left" w:pos="0" w:leader="none"/>
          <w:tab w:val="left" w:pos="720" w:leader="none"/>
          <w:tab w:val="left" w:pos="1440" w:leader="none"/>
          <w:tab w:val="left" w:pos="2160" w:leader="none"/>
          <w:tab w:val="left" w:pos="5760" w:leader="none"/>
        </w:tabs>
        <w:jc w:val="both"/>
        <w:rPr>
          <w:sz w:val="22"/>
        </w:rPr>
      </w:pPr>
      <w:r>
        <w:rPr>
          <w:sz w:val="22"/>
        </w:rPr>
        <w:tab/>
        <w:tab/>
        <w:tab/>
        <w:t>Filed Original Application:</w:t>
        <w:tab/>
        <w:tab/>
        <w:t>12/15/97</w:t>
      </w:r>
    </w:p>
    <w:p>
      <w:pPr>
        <w:pStyle w:val="Normal"/>
        <w:tabs>
          <w:tab w:val="left" w:pos="-720" w:leader="none"/>
          <w:tab w:val="left" w:pos="0" w:leader="none"/>
          <w:tab w:val="left" w:pos="720" w:leader="none"/>
          <w:tab w:val="left" w:pos="1440" w:leader="none"/>
          <w:tab w:val="left" w:pos="2160" w:leader="none"/>
          <w:tab w:val="left" w:pos="5760" w:leader="none"/>
        </w:tabs>
        <w:jc w:val="both"/>
        <w:rPr>
          <w:sz w:val="22"/>
        </w:rPr>
      </w:pPr>
      <w:r>
        <w:rPr>
          <w:sz w:val="22"/>
        </w:rPr>
        <w:tab/>
        <w:tab/>
        <w:tab/>
        <w:t>Preliminary Determination issued:</w:t>
        <w:tab/>
        <w:tab/>
        <w:t>04/23/98</w:t>
      </w:r>
      <w:r>
        <w:rPr>
          <w:sz w:val="18"/>
        </w:rPr>
        <w:t xml:space="preserve"> </w:t>
      </w:r>
      <w:r>
        <w:rPr>
          <w:sz w:val="16"/>
        </w:rPr>
        <w:t>83 FERC ¶61,074 (1998)</w:t>
      </w:r>
    </w:p>
    <w:p>
      <w:pPr>
        <w:pStyle w:val="Normal"/>
        <w:tabs>
          <w:tab w:val="left" w:pos="-720" w:leader="none"/>
          <w:tab w:val="left" w:pos="0" w:leader="none"/>
          <w:tab w:val="left" w:pos="720" w:leader="none"/>
          <w:tab w:val="left" w:pos="1440" w:leader="none"/>
          <w:tab w:val="left" w:pos="2160" w:leader="none"/>
          <w:tab w:val="left" w:pos="5760" w:leader="none"/>
        </w:tabs>
        <w:jc w:val="both"/>
        <w:rPr/>
      </w:pPr>
      <w:r>
        <w:rPr>
          <w:sz w:val="22"/>
        </w:rPr>
        <w:tab/>
        <w:tab/>
        <w:tab/>
        <w:t>Final Order:</w:t>
        <w:tab/>
        <w:tab/>
        <w:t>06/30/98</w:t>
      </w:r>
      <w:r>
        <w:rPr>
          <w:sz w:val="16"/>
        </w:rPr>
        <w:t xml:space="preserve"> 83 FERC ¶61,354 (1998)</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sz w:val="22"/>
        </w:rPr>
      </w:pPr>
      <w:r>
        <w:rPr>
          <w:sz w:val="22"/>
        </w:rPr>
        <w:tab/>
        <w:tab/>
        <w:tab/>
        <w:t>Certificate Accepted:</w:t>
        <w:tab/>
        <w:tab/>
        <w:t>07/16/98</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sz w:val="22"/>
        </w:rPr>
      </w:pPr>
      <w:r>
        <w:rPr>
          <w:sz w:val="22"/>
        </w:rPr>
        <w:t>CP98-132-001</w:t>
        <w:tab/>
        <w:tab/>
        <w:t>Amendment Filed:</w:t>
        <w:tab/>
        <w:tab/>
        <w:t>08/02/00</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pPr>
      <w:r>
        <w:rPr>
          <w:sz w:val="22"/>
        </w:rPr>
        <w:tab/>
        <w:tab/>
        <w:tab/>
      </w:r>
      <w:r>
        <w:rPr>
          <w:b/>
          <w:sz w:val="22"/>
        </w:rPr>
        <w:t>Order Granting Amendment:</w:t>
        <w:tab/>
        <w:tab/>
        <w:t xml:space="preserve">02/23/01 </w:t>
      </w:r>
      <w:r>
        <w:rPr>
          <w:b/>
          <w:sz w:val="16"/>
        </w:rPr>
        <w:t>94 FERC ¶61,191 (2001)</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center"/>
        <w:rPr>
          <w:sz w:val="22"/>
        </w:rPr>
      </w:pPr>
      <w:r>
        <w:rPr>
          <w:sz w:val="22"/>
        </w:rPr>
        <w:t>Regulatory Contact:  Michele</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sz w:val="22"/>
        </w:rPr>
      </w:pPr>
      <w:r>
        <w:rPr>
          <w:sz w:val="22"/>
        </w:rPr>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b/>
          <w:sz w:val="22"/>
        </w:rPr>
      </w:pPr>
      <w:r>
        <w:rPr>
          <w:b/>
          <w:sz w:val="22"/>
        </w:rPr>
      </w:r>
    </w:p>
    <w:p>
      <w:pPr>
        <w:pStyle w:val="Heading1"/>
        <w:pBdr>
          <w:top w:val="single" w:sz="12" w:space="1" w:color="000000" w:shadow="1"/>
          <w:left w:val="single" w:sz="12" w:space="1" w:color="000000" w:shadow="1"/>
          <w:bottom w:val="single" w:sz="12" w:space="1" w:color="000000" w:shadow="1"/>
          <w:right w:val="single" w:sz="12" w:space="1" w:color="000000" w:shadow="1"/>
        </w:pBdr>
        <w:ind w:hanging="0" w:start="0"/>
        <w:rPr/>
      </w:pPr>
      <w:r>
        <w:rPr/>
        <w:t>NEW APPLICATIONS FILED</w:t>
      </w:r>
      <w:r>
        <w:fldChar w:fldCharType="begin"/>
      </w:r>
      <w:r>
        <w:rPr/>
        <w:instrText xml:space="preserve"> XE "NEW APPLICATIONS FILED" </w:instrText>
      </w:r>
      <w:r>
        <w:rPr/>
        <w:fldChar w:fldCharType="separate"/>
      </w:r>
      <w:r>
        <w:rPr/>
      </w:r>
      <w:r>
        <w:rPr/>
        <w:fldChar w:fldCharType="end"/>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rPr>
          <w:b/>
          <w:sz w:val="22"/>
        </w:rPr>
      </w:pPr>
      <w:r>
        <w:rPr>
          <w:b/>
          <w:sz w:val="22"/>
        </w:rPr>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rPr>
          <w:b/>
          <w:sz w:val="22"/>
        </w:rPr>
      </w:pPr>
      <w:r>
        <w:rPr>
          <w:b/>
          <w:sz w:val="22"/>
        </w:rPr>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center"/>
        <w:rPr>
          <w:b/>
          <w:sz w:val="22"/>
          <w:u w:val="single"/>
        </w:rPr>
      </w:pPr>
      <w:r>
        <w:rPr>
          <w:b/>
          <w:sz w:val="22"/>
          <w:u w:val="single"/>
        </w:rPr>
        <w:t>TRANSWESTERN PIPELINE COMPANY</w:t>
      </w:r>
    </w:p>
    <w:p>
      <w:pPr>
        <w:pStyle w:val="Normal"/>
        <w:tabs>
          <w:tab w:val="left" w:pos="-720" w:leader="none"/>
          <w:tab w:val="left" w:pos="720" w:leader="none"/>
          <w:tab w:val="left" w:pos="1440" w:leader="none"/>
          <w:tab w:val="left" w:pos="2160" w:leader="none"/>
          <w:tab w:val="left" w:pos="5760" w:leader="none"/>
        </w:tabs>
        <w:ind w:hanging="1440" w:start="1440" w:end="0"/>
        <w:jc w:val="both"/>
        <w:rPr>
          <w:b/>
          <w:sz w:val="22"/>
          <w:u w:val="single"/>
        </w:rPr>
      </w:pPr>
      <w:r>
        <w:rPr>
          <w:b/>
          <w:sz w:val="22"/>
          <w:u w:val="single"/>
        </w:rPr>
      </w:r>
    </w:p>
    <w:p>
      <w:pPr>
        <w:pStyle w:val="Normal"/>
        <w:tabs>
          <w:tab w:val="left" w:pos="-720" w:leader="none"/>
          <w:tab w:val="left" w:pos="720" w:leader="none"/>
          <w:tab w:val="left" w:pos="1440" w:leader="none"/>
          <w:tab w:val="left" w:pos="2160" w:leader="none"/>
          <w:tab w:val="left" w:pos="5760" w:leader="none"/>
        </w:tabs>
        <w:ind w:hanging="1440" w:start="1440" w:end="0"/>
        <w:jc w:val="both"/>
        <w:rPr>
          <w:sz w:val="22"/>
        </w:rPr>
      </w:pPr>
      <w:r>
        <w:rPr>
          <w:sz w:val="22"/>
        </w:rPr>
      </w:r>
    </w:p>
    <w:p>
      <w:pPr>
        <w:pStyle w:val="Heading8"/>
        <w:tabs>
          <w:tab w:val="clear" w:pos="0"/>
          <w:tab w:val="left" w:pos="-720" w:leader="none"/>
          <w:tab w:val="left" w:pos="720" w:leader="none"/>
          <w:tab w:val="left" w:pos="1440" w:leader="none"/>
          <w:tab w:val="left" w:pos="2160" w:leader="none"/>
          <w:tab w:val="left" w:pos="5760" w:leader="none"/>
        </w:tabs>
        <w:rPr>
          <w:sz w:val="22"/>
        </w:rPr>
      </w:pPr>
      <w:r>
        <w:rPr>
          <w:sz w:val="22"/>
        </w:rPr>
        <w:t>NONE</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rPr>
          <w:b/>
          <w:sz w:val="22"/>
          <w:u w:val="single"/>
        </w:rPr>
      </w:pPr>
      <w:r>
        <w:rPr>
          <w:b/>
          <w:sz w:val="22"/>
          <w:u w:val="single"/>
        </w:rPr>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rPr>
          <w:b/>
          <w:sz w:val="22"/>
          <w:u w:val="single"/>
        </w:rPr>
      </w:pPr>
      <w:r>
        <w:rPr>
          <w:b/>
          <w:sz w:val="22"/>
          <w:u w:val="single"/>
        </w:rPr>
      </w:r>
    </w:p>
    <w:p>
      <w:pPr>
        <w:pStyle w:val="Heading7"/>
        <w:rPr>
          <w:rFonts w:ascii="Times New Roman" w:hAnsi="Times New Roman" w:cs="Times New Roman"/>
          <w:sz w:val="22"/>
        </w:rPr>
      </w:pPr>
      <w:r>
        <w:rPr>
          <w:rFonts w:cs="Times New Roman" w:ascii="Times New Roman" w:hAnsi="Times New Roman"/>
          <w:sz w:val="22"/>
        </w:rPr>
        <w:t>NORTHERN NATURAL GAS COMPANY</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center"/>
        <w:rPr>
          <w:rFonts w:ascii="Times New Roman" w:hAnsi="Times New Roman" w:cs="Times New Roman"/>
          <w:sz w:val="22"/>
        </w:rPr>
      </w:pPr>
      <w:r>
        <w:rPr>
          <w:rFonts w:cs="Times New Roman"/>
          <w:sz w:val="22"/>
        </w:rPr>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rPr>
          <w:sz w:val="22"/>
        </w:rPr>
      </w:pPr>
      <w:r>
        <w:rPr>
          <w:sz w:val="22"/>
        </w:rPr>
      </w:r>
    </w:p>
    <w:p>
      <w:pPr>
        <w:pStyle w:val="BodyTextIndent2"/>
        <w:rPr/>
      </w:pPr>
      <w:r>
        <w:rPr>
          <w:rFonts w:cs="Times New Roman" w:ascii="Times New Roman" w:hAnsi="Times New Roman"/>
          <w:sz w:val="22"/>
        </w:rPr>
        <w:t>CP01-89</w:t>
        <w:tab/>
        <w:t xml:space="preserve">WGR/Gomez Sale – </w:t>
      </w:r>
      <w:r>
        <w:rPr>
          <w:rFonts w:cs="Times New Roman" w:ascii="Times New Roman" w:hAnsi="Times New Roman"/>
          <w:b w:val="false"/>
          <w:bCs/>
          <w:sz w:val="22"/>
        </w:rPr>
        <w:t>Section 7(b) application requesting permission and approval to abandon, by sale to Western Gas Resources –Texas (WGR), Northern’s Gomez facilities which consists of approximately 83 miles of 8- and 16-inch pipeline, the Gomez complex consisting of seven (7) units, treating and dehydration facilities, and all delivery and receipt points located along the length of the pipelines.</w:t>
      </w:r>
    </w:p>
    <w:p>
      <w:pPr>
        <w:pStyle w:val="BodyTextIndent2"/>
        <w:rPr>
          <w:rFonts w:ascii="Times New Roman" w:hAnsi="Times New Roman" w:cs="Times New Roman"/>
          <w:b w:val="false"/>
          <w:bCs/>
          <w:sz w:val="22"/>
        </w:rPr>
      </w:pPr>
      <w:r>
        <w:rPr>
          <w:rFonts w:cs="Times New Roman" w:ascii="Times New Roman" w:hAnsi="Times New Roman"/>
          <w:b w:val="false"/>
          <w:bCs/>
          <w:sz w:val="22"/>
        </w:rPr>
      </w:r>
    </w:p>
    <w:p>
      <w:pPr>
        <w:pStyle w:val="Normal"/>
        <w:tabs>
          <w:tab w:val="left" w:pos="-720" w:leader="none"/>
          <w:tab w:val="left" w:pos="0" w:leader="none"/>
          <w:tab w:val="left" w:pos="720" w:leader="none"/>
          <w:tab w:val="left" w:pos="1440" w:leader="none"/>
          <w:tab w:val="left" w:pos="2160" w:leader="none"/>
          <w:tab w:val="left" w:pos="5760" w:leader="none"/>
        </w:tabs>
        <w:jc w:val="both"/>
        <w:rPr>
          <w:bCs/>
          <w:sz w:val="22"/>
        </w:rPr>
      </w:pPr>
      <w:r>
        <w:rPr>
          <w:bCs/>
          <w:sz w:val="22"/>
        </w:rPr>
        <w:tab/>
        <w:tab/>
        <w:tab/>
        <w:t>Filed:</w:t>
        <w:tab/>
        <w:t>02/14/2001</w:t>
      </w:r>
    </w:p>
    <w:p>
      <w:pPr>
        <w:pStyle w:val="Normal"/>
        <w:tabs>
          <w:tab w:val="left" w:pos="-720" w:leader="none"/>
          <w:tab w:val="left" w:pos="0" w:leader="none"/>
          <w:tab w:val="left" w:pos="720" w:leader="none"/>
          <w:tab w:val="left" w:pos="1440" w:leader="none"/>
          <w:tab w:val="left" w:pos="2160" w:leader="none"/>
          <w:tab w:val="left" w:pos="5760" w:leader="none"/>
        </w:tabs>
        <w:jc w:val="both"/>
        <w:rPr>
          <w:bCs/>
          <w:sz w:val="22"/>
        </w:rPr>
      </w:pPr>
      <w:r>
        <w:rPr>
          <w:bCs/>
          <w:sz w:val="22"/>
        </w:rPr>
        <w:tab/>
        <w:tab/>
        <w:tab/>
        <w:t>Noticed:</w:t>
        <w:tab/>
        <w:t>02/22/2001:</w:t>
      </w:r>
    </w:p>
    <w:p>
      <w:pPr>
        <w:pStyle w:val="Normal"/>
        <w:tabs>
          <w:tab w:val="left" w:pos="-720" w:leader="none"/>
          <w:tab w:val="left" w:pos="0" w:leader="none"/>
          <w:tab w:val="left" w:pos="720" w:leader="none"/>
          <w:tab w:val="left" w:pos="1440" w:leader="none"/>
          <w:tab w:val="left" w:pos="2160" w:leader="none"/>
          <w:tab w:val="left" w:pos="5760" w:leader="none"/>
        </w:tabs>
        <w:jc w:val="both"/>
        <w:rPr>
          <w:bCs/>
          <w:sz w:val="22"/>
        </w:rPr>
      </w:pPr>
      <w:r>
        <w:rPr>
          <w:bCs/>
          <w:sz w:val="22"/>
        </w:rPr>
        <w:tab/>
        <w:tab/>
        <w:tab/>
        <w:t>Intervention period ends:</w:t>
        <w:tab/>
        <w:t>03/15/2001</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center"/>
        <w:rPr>
          <w:bCs/>
          <w:sz w:val="22"/>
        </w:rPr>
      </w:pPr>
      <w:r>
        <w:rPr>
          <w:bCs/>
          <w:sz w:val="22"/>
        </w:rPr>
        <w:t>Regulatory Contact:  Donna</w:t>
      </w:r>
    </w:p>
    <w:p>
      <w:pPr>
        <w:pStyle w:val="BodyTextIndent2"/>
        <w:rPr>
          <w:rFonts w:ascii="Times New Roman" w:hAnsi="Times New Roman" w:cs="Times New Roman"/>
          <w:bCs/>
          <w:sz w:val="22"/>
        </w:rPr>
      </w:pPr>
      <w:r>
        <w:rPr>
          <w:rFonts w:cs="Times New Roman" w:ascii="Times New Roman" w:hAnsi="Times New Roman"/>
          <w:bCs/>
          <w:sz w:val="22"/>
        </w:rPr>
      </w:r>
    </w:p>
    <w:p>
      <w:pPr>
        <w:pStyle w:val="Heading1"/>
        <w:pBdr>
          <w:top w:val="single" w:sz="12" w:space="1" w:color="000000" w:shadow="1"/>
          <w:left w:val="single" w:sz="12" w:space="1" w:color="000000" w:shadow="1"/>
          <w:bottom w:val="single" w:sz="12" w:space="1" w:color="000000" w:shadow="1"/>
          <w:right w:val="single" w:sz="12" w:space="1" w:color="000000" w:shadow="1"/>
        </w:pBdr>
        <w:ind w:hanging="0" w:start="0"/>
        <w:rPr>
          <w:rFonts w:ascii="Times New Roman" w:hAnsi="Times New Roman" w:cs="Times New Roman"/>
          <w:sz w:val="22"/>
        </w:rPr>
      </w:pPr>
      <w:r>
        <w:rPr>
          <w:rFonts w:cs="Times New Roman" w:ascii="Times New Roman" w:hAnsi="Times New Roman"/>
          <w:sz w:val="22"/>
        </w:rPr>
      </w:r>
    </w:p>
    <w:p>
      <w:pPr>
        <w:pStyle w:val="Heading1"/>
        <w:pBdr>
          <w:top w:val="single" w:sz="12" w:space="1" w:color="000000" w:shadow="1"/>
          <w:left w:val="single" w:sz="12" w:space="1" w:color="000000" w:shadow="1"/>
          <w:bottom w:val="single" w:sz="12" w:space="1" w:color="000000" w:shadow="1"/>
          <w:right w:val="single" w:sz="12" w:space="1" w:color="000000" w:shadow="1"/>
        </w:pBdr>
        <w:ind w:hanging="0" w:start="0"/>
        <w:rPr/>
      </w:pPr>
      <w:r>
        <w:rPr/>
        <w:t>OTHER DISPOSITIONS OF PROJECTS</w:t>
      </w:r>
      <w:r>
        <w:fldChar w:fldCharType="begin"/>
      </w:r>
      <w:r>
        <w:rPr/>
        <w:instrText xml:space="preserve"> XE "OTHER DISPOSITIONS OF PROJECTS" </w:instrText>
      </w:r>
      <w:r>
        <w:rPr/>
        <w:fldChar w:fldCharType="separate"/>
      </w:r>
      <w:r>
        <w:rPr/>
      </w:r>
      <w:r>
        <w:rPr/>
        <w:fldChar w:fldCharType="end"/>
      </w:r>
    </w:p>
    <w:p>
      <w:pPr>
        <w:pStyle w:val="Normal"/>
        <w:tabs>
          <w:tab w:val="left" w:pos="720" w:leader="none"/>
          <w:tab w:val="center" w:pos="4920" w:leader="none"/>
        </w:tabs>
        <w:ind w:hanging="720" w:start="720" w:end="720"/>
        <w:jc w:val="center"/>
        <w:rPr>
          <w:b/>
          <w:sz w:val="22"/>
        </w:rPr>
      </w:pPr>
      <w:r>
        <w:rPr>
          <w:b/>
          <w:sz w:val="22"/>
        </w:rPr>
      </w:r>
    </w:p>
    <w:p>
      <w:pPr>
        <w:pStyle w:val="Normal"/>
        <w:tabs>
          <w:tab w:val="left" w:pos="720" w:leader="none"/>
          <w:tab w:val="center" w:pos="4920" w:leader="none"/>
        </w:tabs>
        <w:ind w:hanging="720" w:start="720" w:end="720"/>
        <w:jc w:val="center"/>
        <w:rPr>
          <w:sz w:val="22"/>
        </w:rPr>
      </w:pPr>
      <w:r>
        <w:rPr>
          <w:b/>
          <w:sz w:val="22"/>
        </w:rPr>
        <w:t>Projects in this section will be deleted from the next Status Report</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rPr>
          <w:b/>
          <w:sz w:val="22"/>
          <w:u w:val="single"/>
        </w:rPr>
      </w:pPr>
      <w:r>
        <w:rPr>
          <w:b/>
          <w:sz w:val="22"/>
          <w:u w:val="single"/>
        </w:rPr>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rPr>
          <w:b/>
          <w:sz w:val="22"/>
          <w:u w:val="single"/>
        </w:rPr>
      </w:pPr>
      <w:r>
        <w:rPr>
          <w:b/>
          <w:sz w:val="22"/>
          <w:u w:val="single"/>
        </w:rPr>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center"/>
        <w:rPr>
          <w:b/>
          <w:sz w:val="22"/>
          <w:u w:val="single"/>
        </w:rPr>
      </w:pPr>
      <w:r>
        <w:rPr>
          <w:b/>
          <w:sz w:val="22"/>
          <w:u w:val="single"/>
        </w:rPr>
        <w:t>TRANSWESTERN PIPELINE COMPANY</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b/>
          <w:sz w:val="22"/>
          <w:u w:val="single"/>
        </w:rPr>
      </w:pPr>
      <w:r>
        <w:rPr>
          <w:b/>
          <w:sz w:val="22"/>
          <w:u w:val="single"/>
        </w:rPr>
      </w:r>
    </w:p>
    <w:p>
      <w:pPr>
        <w:pStyle w:val="Heading6"/>
        <w:tabs>
          <w:tab w:val="left" w:pos="-720" w:leader="none"/>
          <w:tab w:val="left" w:pos="0" w:leader="none"/>
          <w:tab w:val="left" w:pos="720" w:leader="none"/>
          <w:tab w:val="left" w:pos="1440" w:leader="none"/>
          <w:tab w:val="left" w:pos="2160" w:leader="none"/>
          <w:tab w:val="left" w:pos="5760" w:leader="none"/>
        </w:tabs>
        <w:ind w:hanging="0" w:start="0"/>
        <w:rPr>
          <w:rFonts w:ascii="Times New Roman" w:hAnsi="Times New Roman" w:cs="Times New Roman"/>
        </w:rPr>
      </w:pPr>
      <w:r>
        <w:rPr>
          <w:rFonts w:cs="Times New Roman" w:ascii="Times New Roman" w:hAnsi="Times New Roman"/>
        </w:rPr>
        <w:t>NONE</w:t>
      </w:r>
    </w:p>
    <w:p>
      <w:pPr>
        <w:pStyle w:val="Normal"/>
        <w:tabs>
          <w:tab w:val="left" w:pos="-720" w:leader="none"/>
          <w:tab w:val="left" w:pos="0" w:leader="none"/>
          <w:tab w:val="left" w:pos="720" w:leader="none"/>
          <w:tab w:val="left" w:pos="1440" w:leader="none"/>
          <w:tab w:val="left" w:pos="2160" w:leader="none"/>
          <w:tab w:val="left" w:pos="5760" w:leader="none"/>
        </w:tabs>
        <w:jc w:val="center"/>
        <w:rPr>
          <w:rFonts w:ascii="Times New Roman" w:hAnsi="Times New Roman" w:cs="Times New Roman"/>
          <w:b/>
          <w:sz w:val="22"/>
          <w:u w:val="single"/>
        </w:rPr>
      </w:pPr>
      <w:r>
        <w:rPr>
          <w:rFonts w:cs="Times New Roman"/>
          <w:b/>
          <w:sz w:val="22"/>
          <w:u w:val="single"/>
        </w:rPr>
      </w:r>
    </w:p>
    <w:p>
      <w:pPr>
        <w:pStyle w:val="Normal"/>
        <w:tabs>
          <w:tab w:val="left" w:pos="-720" w:leader="none"/>
          <w:tab w:val="left" w:pos="0" w:leader="none"/>
          <w:tab w:val="left" w:pos="720" w:leader="none"/>
          <w:tab w:val="left" w:pos="1440" w:leader="none"/>
          <w:tab w:val="left" w:pos="2160" w:leader="none"/>
          <w:tab w:val="left" w:pos="5760" w:leader="none"/>
        </w:tabs>
        <w:jc w:val="center"/>
        <w:rPr>
          <w:b/>
          <w:sz w:val="22"/>
          <w:u w:val="single"/>
        </w:rPr>
      </w:pPr>
      <w:r>
        <w:rPr>
          <w:b/>
          <w:sz w:val="22"/>
          <w:u w:val="single"/>
        </w:rPr>
      </w:r>
    </w:p>
    <w:p>
      <w:pPr>
        <w:pStyle w:val="Normal"/>
        <w:tabs>
          <w:tab w:val="left" w:pos="-720" w:leader="none"/>
          <w:tab w:val="left" w:pos="0" w:leader="none"/>
          <w:tab w:val="left" w:pos="720" w:leader="none"/>
          <w:tab w:val="left" w:pos="1440" w:leader="none"/>
          <w:tab w:val="left" w:pos="2160" w:leader="none"/>
          <w:tab w:val="left" w:pos="5760" w:leader="none"/>
        </w:tabs>
        <w:jc w:val="center"/>
        <w:rPr>
          <w:b/>
          <w:sz w:val="22"/>
          <w:u w:val="single"/>
        </w:rPr>
      </w:pPr>
      <w:r>
        <w:rPr>
          <w:b/>
          <w:sz w:val="22"/>
          <w:u w:val="single"/>
        </w:rPr>
      </w:r>
    </w:p>
    <w:p>
      <w:pPr>
        <w:pStyle w:val="Normal"/>
        <w:tabs>
          <w:tab w:val="left" w:pos="-720" w:leader="none"/>
          <w:tab w:val="left" w:pos="0" w:leader="none"/>
          <w:tab w:val="left" w:pos="720" w:leader="none"/>
          <w:tab w:val="left" w:pos="1440" w:leader="none"/>
          <w:tab w:val="left" w:pos="2160" w:leader="none"/>
          <w:tab w:val="left" w:pos="5760" w:leader="none"/>
        </w:tabs>
        <w:jc w:val="center"/>
        <w:rPr>
          <w:b/>
          <w:sz w:val="22"/>
          <w:u w:val="single"/>
        </w:rPr>
      </w:pPr>
      <w:r>
        <w:rPr>
          <w:b/>
          <w:sz w:val="22"/>
          <w:u w:val="single"/>
        </w:rPr>
        <w:t>NORTHERN NATURAL GAS COMPANY</w:t>
      </w:r>
    </w:p>
    <w:p>
      <w:pPr>
        <w:pStyle w:val="Heading8"/>
        <w:tabs>
          <w:tab w:val="clear" w:pos="0"/>
          <w:tab w:val="left" w:pos="-720" w:leader="none"/>
          <w:tab w:val="left" w:pos="720" w:leader="none"/>
          <w:tab w:val="left" w:pos="1440" w:leader="none"/>
          <w:tab w:val="left" w:pos="2160" w:leader="none"/>
          <w:tab w:val="left" w:pos="5760" w:leader="none"/>
        </w:tabs>
        <w:rPr>
          <w:b w:val="false"/>
          <w:sz w:val="22"/>
          <w:u w:val="single"/>
        </w:rPr>
      </w:pPr>
      <w:r>
        <w:rPr>
          <w:b w:val="false"/>
          <w:sz w:val="22"/>
          <w:u w:val="single"/>
        </w:rPr>
      </w:r>
    </w:p>
    <w:p>
      <w:pPr>
        <w:pStyle w:val="Normal"/>
        <w:ind w:hanging="1440" w:start="1440" w:end="0"/>
        <w:jc w:val="both"/>
        <w:rPr>
          <w:sz w:val="22"/>
        </w:rPr>
      </w:pPr>
      <w:r>
        <w:rPr>
          <w:sz w:val="22"/>
        </w:rPr>
      </w:r>
    </w:p>
    <w:p>
      <w:pPr>
        <w:pStyle w:val="BodyTextIndent2"/>
        <w:rPr/>
      </w:pPr>
      <w:r>
        <w:rPr>
          <w:rFonts w:cs="Times New Roman" w:ascii="Times New Roman" w:hAnsi="Times New Roman"/>
          <w:sz w:val="22"/>
        </w:rPr>
        <w:t>CP01-16</w:t>
      </w:r>
      <w:r>
        <w:rPr>
          <w:rFonts w:cs="Times New Roman" w:ascii="Times New Roman" w:hAnsi="Times New Roman"/>
          <w:b w:val="false"/>
          <w:sz w:val="22"/>
        </w:rPr>
        <w:tab/>
      </w:r>
      <w:r>
        <w:rPr>
          <w:rFonts w:cs="Times New Roman" w:ascii="Times New Roman" w:hAnsi="Times New Roman"/>
          <w:sz w:val="22"/>
        </w:rPr>
        <w:t xml:space="preserve">STEVENS CO. NO. 2, UNIT #12 ABANDONMENT - </w:t>
      </w:r>
      <w:r>
        <w:rPr>
          <w:rFonts w:cs="Times New Roman" w:ascii="Times New Roman" w:hAnsi="Times New Roman"/>
          <w:b w:val="false"/>
          <w:sz w:val="22"/>
        </w:rPr>
        <w:t>Section 7(b) application to abandon by removal unit 12 at the Stevens Co. No. 2 compressor station</w:t>
      </w:r>
      <w:r>
        <w:rPr>
          <w:rFonts w:cs="Times New Roman" w:ascii="Times New Roman" w:hAnsi="Times New Roman"/>
          <w:bCs/>
          <w:sz w:val="22"/>
        </w:rPr>
        <w:t>.  Notice of abandonment filed on February 23, 2001.  Abandonment effective February 20, 2001.</w:t>
      </w:r>
    </w:p>
    <w:p>
      <w:pPr>
        <w:pStyle w:val="Normal"/>
        <w:tabs>
          <w:tab w:val="left" w:pos="-720" w:leader="none"/>
          <w:tab w:val="left" w:pos="720" w:leader="none"/>
          <w:tab w:val="left" w:pos="1440" w:leader="none"/>
          <w:tab w:val="left" w:pos="2160" w:leader="none"/>
          <w:tab w:val="left" w:pos="5760" w:leader="none"/>
        </w:tabs>
        <w:jc w:val="both"/>
        <w:rPr>
          <w:sz w:val="22"/>
        </w:rPr>
      </w:pPr>
      <w:r>
        <w:rPr>
          <w:sz w:val="22"/>
        </w:rPr>
        <w:tab/>
        <w:tab/>
        <w:tab/>
        <w:t>Filed:</w:t>
        <w:tab/>
        <w:tab/>
        <w:t>10/19/00</w:t>
      </w:r>
    </w:p>
    <w:p>
      <w:pPr>
        <w:pStyle w:val="Normal"/>
        <w:tabs>
          <w:tab w:val="left" w:pos="-720" w:leader="none"/>
          <w:tab w:val="left" w:pos="0" w:leader="none"/>
          <w:tab w:val="left" w:pos="720" w:leader="none"/>
          <w:tab w:val="left" w:pos="1440" w:leader="none"/>
          <w:tab w:val="left" w:pos="2160" w:leader="none"/>
          <w:tab w:val="left" w:pos="5760" w:leader="none"/>
        </w:tabs>
        <w:jc w:val="both"/>
        <w:rPr>
          <w:b/>
          <w:sz w:val="16"/>
        </w:rPr>
      </w:pPr>
      <w:r>
        <w:rPr>
          <w:sz w:val="22"/>
        </w:rPr>
        <w:tab/>
        <w:tab/>
        <w:tab/>
        <w:t>Order Approving Abandonment:</w:t>
        <w:tab/>
        <w:tab/>
        <w:t xml:space="preserve">01/16/01 </w:t>
      </w:r>
      <w:r>
        <w:rPr>
          <w:sz w:val="18"/>
        </w:rPr>
        <w:t xml:space="preserve"> </w:t>
      </w:r>
      <w:r>
        <w:rPr>
          <w:sz w:val="16"/>
        </w:rPr>
        <w:t>94 FERC ¶ 62,032 (2001)</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center"/>
        <w:rPr>
          <w:sz w:val="22"/>
        </w:rPr>
      </w:pPr>
      <w:r>
        <w:rPr>
          <w:sz w:val="22"/>
        </w:rPr>
        <w:t>Regulatory Contact:  Michele</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sz w:val="22"/>
        </w:rPr>
      </w:pPr>
      <w:r>
        <w:rPr>
          <w:sz w:val="22"/>
        </w:rPr>
      </w:r>
    </w:p>
    <w:p>
      <w:pPr>
        <w:pStyle w:val="Heading1"/>
        <w:pBdr>
          <w:top w:val="single" w:sz="12" w:space="1" w:color="000000" w:shadow="1"/>
          <w:left w:val="single" w:sz="12" w:space="1" w:color="000000" w:shadow="1"/>
          <w:bottom w:val="single" w:sz="12" w:space="1" w:color="000000" w:shadow="1"/>
          <w:right w:val="single" w:sz="12" w:space="1" w:color="000000" w:shadow="1"/>
        </w:pBdr>
        <w:ind w:hanging="0" w:start="0"/>
        <w:rPr>
          <w:sz w:val="25"/>
        </w:rPr>
      </w:pPr>
      <w:r>
        <w:rPr/>
        <w:t>CERTIFICATES PENDING REHEARING</w:t>
      </w:r>
      <w:r>
        <w:fldChar w:fldCharType="begin"/>
      </w:r>
      <w:r>
        <w:rPr/>
        <w:instrText xml:space="preserve"> XE "CERTIFICATES PENDING REHEARING" </w:instrText>
      </w:r>
      <w:r>
        <w:rPr/>
        <w:fldChar w:fldCharType="separate"/>
      </w:r>
      <w:r>
        <w:rPr/>
      </w:r>
      <w:r>
        <w:rPr/>
        <w:fldChar w:fldCharType="end"/>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rPr>
          <w:b/>
          <w:sz w:val="22"/>
        </w:rPr>
      </w:pPr>
      <w:r>
        <w:rPr>
          <w:b/>
          <w:sz w:val="22"/>
        </w:rPr>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rPr>
          <w:b/>
          <w:sz w:val="22"/>
        </w:rPr>
      </w:pPr>
      <w:r>
        <w:rPr>
          <w:b/>
          <w:sz w:val="22"/>
        </w:rPr>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center"/>
        <w:rPr>
          <w:b/>
          <w:sz w:val="22"/>
          <w:u w:val="single"/>
        </w:rPr>
      </w:pPr>
      <w:r>
        <w:rPr>
          <w:b/>
          <w:sz w:val="22"/>
          <w:u w:val="single"/>
        </w:rPr>
        <w:t>TRANSWESTERN PIPELINE COMPANY</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b/>
          <w:sz w:val="22"/>
          <w:u w:val="single"/>
        </w:rPr>
      </w:pPr>
      <w:r>
        <w:rPr>
          <w:b/>
          <w:sz w:val="22"/>
          <w:u w:val="single"/>
        </w:rPr>
      </w:r>
    </w:p>
    <w:p>
      <w:pPr>
        <w:pStyle w:val="Normal"/>
        <w:tabs>
          <w:tab w:val="left" w:pos="-720" w:leader="none"/>
          <w:tab w:val="left" w:pos="720" w:leader="none"/>
          <w:tab w:val="left" w:pos="1440" w:leader="none"/>
          <w:tab w:val="left" w:pos="2160" w:leader="none"/>
          <w:tab w:val="left" w:pos="5760" w:leader="none"/>
        </w:tabs>
        <w:ind w:hanging="1440" w:start="1440" w:end="0"/>
        <w:jc w:val="both"/>
        <w:rPr>
          <w:b/>
          <w:sz w:val="22"/>
          <w:u w:val="single"/>
        </w:rPr>
      </w:pPr>
      <w:r>
        <w:rPr>
          <w:b/>
          <w:sz w:val="22"/>
          <w:u w:val="single"/>
        </w:rPr>
      </w:r>
    </w:p>
    <w:p>
      <w:pPr>
        <w:pStyle w:val="Heading8"/>
        <w:tabs>
          <w:tab w:val="clear" w:pos="0"/>
          <w:tab w:val="left" w:pos="-720" w:leader="none"/>
          <w:tab w:val="left" w:pos="720" w:leader="none"/>
          <w:tab w:val="left" w:pos="1440" w:leader="none"/>
          <w:tab w:val="left" w:pos="2160" w:leader="none"/>
          <w:tab w:val="left" w:pos="5760" w:leader="none"/>
        </w:tabs>
        <w:rPr>
          <w:sz w:val="22"/>
        </w:rPr>
      </w:pPr>
      <w:r>
        <w:rPr>
          <w:sz w:val="22"/>
        </w:rPr>
        <w:t>NONE</w:t>
      </w:r>
    </w:p>
    <w:p>
      <w:pPr>
        <w:pStyle w:val="Normal"/>
        <w:tabs>
          <w:tab w:val="left" w:pos="-720" w:leader="none"/>
          <w:tab w:val="left" w:pos="0" w:leader="none"/>
          <w:tab w:val="left" w:pos="720" w:leader="none"/>
          <w:tab w:val="left" w:pos="1440" w:leader="none"/>
          <w:tab w:val="left" w:pos="2160" w:leader="none"/>
          <w:tab w:val="left" w:pos="5760" w:leader="none"/>
        </w:tabs>
        <w:rPr>
          <w:b/>
          <w:sz w:val="22"/>
          <w:u w:val="single"/>
        </w:rPr>
      </w:pPr>
      <w:r>
        <w:rPr>
          <w:b/>
          <w:sz w:val="22"/>
          <w:u w:val="single"/>
        </w:rPr>
      </w:r>
    </w:p>
    <w:p>
      <w:pPr>
        <w:pStyle w:val="Normal"/>
        <w:tabs>
          <w:tab w:val="left" w:pos="-720" w:leader="none"/>
          <w:tab w:val="left" w:pos="0" w:leader="none"/>
          <w:tab w:val="left" w:pos="720" w:leader="none"/>
          <w:tab w:val="left" w:pos="1440" w:leader="none"/>
          <w:tab w:val="left" w:pos="2160" w:leader="none"/>
          <w:tab w:val="left" w:pos="5760" w:leader="none"/>
        </w:tabs>
        <w:rPr>
          <w:b/>
          <w:sz w:val="22"/>
          <w:u w:val="single"/>
        </w:rPr>
      </w:pPr>
      <w:r>
        <w:rPr>
          <w:b/>
          <w:sz w:val="22"/>
          <w:u w:val="single"/>
        </w:rPr>
      </w:r>
    </w:p>
    <w:p>
      <w:pPr>
        <w:pStyle w:val="Normal"/>
        <w:tabs>
          <w:tab w:val="left" w:pos="-720" w:leader="none"/>
          <w:tab w:val="left" w:pos="0" w:leader="none"/>
          <w:tab w:val="left" w:pos="720" w:leader="none"/>
          <w:tab w:val="left" w:pos="1440" w:leader="none"/>
          <w:tab w:val="left" w:pos="2160" w:leader="none"/>
          <w:tab w:val="left" w:pos="5760" w:leader="none"/>
        </w:tabs>
        <w:jc w:val="center"/>
        <w:rPr>
          <w:b/>
          <w:sz w:val="22"/>
          <w:u w:val="single"/>
        </w:rPr>
      </w:pPr>
      <w:r>
        <w:rPr>
          <w:b/>
          <w:sz w:val="22"/>
          <w:u w:val="single"/>
        </w:rPr>
        <w:t>NORTHERN NATURAL GAS COMPANY</w:t>
      </w:r>
    </w:p>
    <w:p>
      <w:pPr>
        <w:pStyle w:val="Normal"/>
        <w:tabs>
          <w:tab w:val="left" w:pos="-720" w:leader="none"/>
          <w:tab w:val="left" w:pos="0" w:leader="none"/>
          <w:tab w:val="left" w:pos="720" w:leader="none"/>
          <w:tab w:val="left" w:pos="1440" w:leader="none"/>
          <w:tab w:val="left" w:pos="2160" w:leader="none"/>
          <w:tab w:val="left" w:pos="5760" w:leader="none"/>
        </w:tabs>
        <w:jc w:val="center"/>
        <w:rPr>
          <w:b/>
          <w:sz w:val="22"/>
          <w:u w:val="single"/>
        </w:rPr>
      </w:pPr>
      <w:r>
        <w:rPr>
          <w:b/>
          <w:sz w:val="22"/>
          <w:u w:val="single"/>
        </w:rPr>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b/>
          <w:sz w:val="22"/>
          <w:u w:val="single"/>
        </w:rPr>
      </w:pPr>
      <w:r>
        <w:rPr>
          <w:b/>
          <w:sz w:val="22"/>
          <w:u w:val="single"/>
        </w:rPr>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pPr>
      <w:r>
        <w:rPr>
          <w:sz w:val="22"/>
        </w:rPr>
        <w:t>CP95-519</w:t>
        <w:tab/>
      </w:r>
      <w:r>
        <w:rPr>
          <w:b/>
          <w:sz w:val="22"/>
        </w:rPr>
        <w:t>MOPS ABANDONMENT</w:t>
      </w:r>
      <w:r>
        <w:rPr>
          <w:sz w:val="22"/>
        </w:rPr>
        <w:t xml:space="preserve"> -  Section 7(b) application for the abandonment, by sale to Enron Gulf Coast Gathering, Limited Partnership (EGCG), of Northern's interest in its Matagorda Offshore Pipeline System (MOPS) facilities and the abandonment of any services impacted by the sale.  EGCG filed a Petition for Declaratory Order on May 25, 1995 in Docket No. CP95-516.  By Order issued April 17, 1997 (April 17 Order), the Commission denied EGCG's request and dismissed Northern's abandonment application.  Northern, EGCG, and the Williams Company filed Requests for Rehearing of the April 17 Order.  Tolling Order issued June 18, 1997.</w:t>
      </w:r>
      <w:r>
        <w:rPr>
          <w:b/>
          <w:sz w:val="22"/>
        </w:rPr>
        <w:t xml:space="preserve"> </w:t>
      </w:r>
      <w:r>
        <w:rPr>
          <w:sz w:val="22"/>
        </w:rPr>
        <w:t>Acquisition of the MI 787 lateral closed effective December 8, 1998.  Letter notifying the Commission of the acquisition was filed on March 1, 1999.</w:t>
      </w:r>
      <w:r>
        <w:rPr>
          <w:bCs/>
          <w:sz w:val="22"/>
        </w:rPr>
        <w:t xml:space="preserve">  Northern is evaluating the potential abandonment of the compressor facilities located in MAT 686.  Northern will file the abandonment in a separate filing.  </w:t>
      </w:r>
      <w:r>
        <w:rPr>
          <w:b/>
          <w:sz w:val="22"/>
        </w:rPr>
        <w:t xml:space="preserve">A Motion to Expedite approval of this filing has been circulated for comment.  </w:t>
      </w:r>
    </w:p>
    <w:p>
      <w:pPr>
        <w:pStyle w:val="Normal"/>
        <w:tabs>
          <w:tab w:val="left" w:pos="-720" w:leader="none"/>
          <w:tab w:val="left" w:pos="0" w:leader="none"/>
          <w:tab w:val="left" w:pos="720" w:leader="none"/>
          <w:tab w:val="left" w:pos="1440" w:leader="none"/>
          <w:tab w:val="left" w:pos="2160" w:leader="none"/>
          <w:tab w:val="left" w:pos="5760" w:leader="none"/>
        </w:tabs>
        <w:jc w:val="both"/>
        <w:rPr>
          <w:sz w:val="22"/>
        </w:rPr>
      </w:pPr>
      <w:r>
        <w:rPr>
          <w:sz w:val="22"/>
        </w:rPr>
        <w:tab/>
        <w:tab/>
        <w:tab/>
        <w:t>Filed:</w:t>
        <w:tab/>
        <w:tab/>
        <w:t>05/25/95</w:t>
      </w:r>
    </w:p>
    <w:p>
      <w:pPr>
        <w:pStyle w:val="Normal"/>
        <w:tabs>
          <w:tab w:val="left" w:pos="-720" w:leader="none"/>
          <w:tab w:val="left" w:pos="0" w:leader="none"/>
          <w:tab w:val="left" w:pos="720" w:leader="none"/>
          <w:tab w:val="left" w:pos="1440" w:leader="none"/>
          <w:tab w:val="left" w:pos="2160" w:leader="none"/>
          <w:tab w:val="left" w:pos="5760" w:leader="none"/>
        </w:tabs>
        <w:jc w:val="both"/>
        <w:rPr/>
      </w:pPr>
      <w:r>
        <w:rPr>
          <w:sz w:val="22"/>
        </w:rPr>
        <w:tab/>
        <w:tab/>
        <w:tab/>
        <w:t>Order Dismissing Request:</w:t>
        <w:tab/>
        <w:tab/>
        <w:t xml:space="preserve">04/17/97 </w:t>
      </w:r>
      <w:r>
        <w:rPr>
          <w:sz w:val="16"/>
        </w:rPr>
        <w:t>72 FERC ¶ 61,039</w:t>
      </w:r>
    </w:p>
    <w:p>
      <w:pPr>
        <w:pStyle w:val="Normal"/>
        <w:tabs>
          <w:tab w:val="left" w:pos="-720" w:leader="none"/>
          <w:tab w:val="left" w:pos="0" w:leader="none"/>
          <w:tab w:val="left" w:pos="720" w:leader="none"/>
          <w:tab w:val="left" w:pos="1440" w:leader="none"/>
          <w:tab w:val="left" w:pos="2160" w:leader="none"/>
          <w:tab w:val="left" w:pos="5760" w:leader="none"/>
        </w:tabs>
        <w:jc w:val="both"/>
        <w:rPr>
          <w:sz w:val="22"/>
        </w:rPr>
      </w:pPr>
      <w:r>
        <w:rPr>
          <w:sz w:val="22"/>
        </w:rPr>
        <w:t>CP95-519-001</w:t>
        <w:tab/>
        <w:t xml:space="preserve">  </w:t>
        <w:tab/>
        <w:t>Request for Rehearing Filed:</w:t>
        <w:tab/>
        <w:tab/>
        <w:t>05/19/97</w:t>
      </w:r>
    </w:p>
    <w:p>
      <w:pPr>
        <w:pStyle w:val="Normal"/>
        <w:tabs>
          <w:tab w:val="left" w:pos="-720" w:leader="none"/>
          <w:tab w:val="left" w:pos="0" w:leader="none"/>
          <w:tab w:val="left" w:pos="720" w:leader="none"/>
          <w:tab w:val="left" w:pos="1440" w:leader="none"/>
          <w:tab w:val="left" w:pos="2160" w:leader="none"/>
          <w:tab w:val="left" w:pos="5760" w:leader="none"/>
        </w:tabs>
        <w:jc w:val="both"/>
        <w:rPr/>
      </w:pPr>
      <w:r>
        <w:rPr>
          <w:b/>
          <w:sz w:val="22"/>
        </w:rPr>
        <w:tab/>
        <w:tab/>
        <w:tab/>
      </w:r>
      <w:r>
        <w:rPr>
          <w:sz w:val="22"/>
        </w:rPr>
        <w:t>Tolling Order Issued:</w:t>
        <w:tab/>
        <w:tab/>
        <w:t>06/18/97</w:t>
      </w:r>
    </w:p>
    <w:p>
      <w:pPr>
        <w:pStyle w:val="Normal"/>
        <w:tabs>
          <w:tab w:val="left" w:pos="-720" w:leader="none"/>
          <w:tab w:val="left" w:pos="0" w:leader="none"/>
          <w:tab w:val="left" w:pos="720" w:leader="none"/>
          <w:tab w:val="left" w:pos="1440" w:leader="none"/>
          <w:tab w:val="left" w:pos="2160" w:leader="none"/>
          <w:tab w:val="left" w:pos="5760" w:leader="none"/>
        </w:tabs>
        <w:jc w:val="both"/>
        <w:rPr>
          <w:sz w:val="22"/>
        </w:rPr>
      </w:pPr>
      <w:r>
        <w:rPr>
          <w:sz w:val="22"/>
        </w:rPr>
        <w:tab/>
        <w:tab/>
        <w:tab/>
        <w:t>Order on Rehearing:</w:t>
        <w:tab/>
        <w:tab/>
        <w:t>Pending</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center"/>
        <w:rPr>
          <w:sz w:val="22"/>
        </w:rPr>
      </w:pPr>
      <w:r>
        <w:rPr>
          <w:sz w:val="22"/>
        </w:rPr>
        <w:t>Regulatory Contact:  Michele</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rPr>
          <w:sz w:val="22"/>
        </w:rPr>
      </w:pPr>
      <w:r>
        <w:rPr>
          <w:sz w:val="22"/>
        </w:rPr>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rPr>
          <w:sz w:val="22"/>
        </w:rPr>
      </w:pPr>
      <w:r>
        <w:rPr>
          <w:sz w:val="22"/>
        </w:rPr>
      </w:r>
    </w:p>
    <w:p>
      <w:pPr>
        <w:pStyle w:val="Heading1"/>
        <w:pBdr>
          <w:top w:val="single" w:sz="12" w:space="1" w:color="000000" w:shadow="1"/>
          <w:left w:val="single" w:sz="12" w:space="1" w:color="000000" w:shadow="1"/>
          <w:bottom w:val="single" w:sz="12" w:space="1" w:color="000000" w:shadow="1"/>
          <w:right w:val="single" w:sz="12" w:space="1" w:color="000000" w:shadow="1"/>
        </w:pBdr>
        <w:ind w:hanging="0" w:start="0"/>
        <w:rPr>
          <w:sz w:val="25"/>
        </w:rPr>
      </w:pPr>
      <w:r>
        <w:rPr/>
        <w:t>CERTIFICATES APPROVED WITH CONDITIONS</w:t>
      </w:r>
      <w:r>
        <w:fldChar w:fldCharType="begin"/>
      </w:r>
      <w:r>
        <w:rPr/>
        <w:instrText xml:space="preserve"> XE "CERTIFICATES APPROVED WITH CONDITIONS" </w:instrText>
      </w:r>
      <w:r>
        <w:rPr/>
        <w:fldChar w:fldCharType="separate"/>
      </w:r>
      <w:r>
        <w:rPr/>
      </w:r>
      <w:r>
        <w:rPr/>
        <w:fldChar w:fldCharType="end"/>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rPr>
          <w:b/>
          <w:sz w:val="22"/>
        </w:rPr>
      </w:pPr>
      <w:r>
        <w:rPr>
          <w:b/>
          <w:sz w:val="22"/>
        </w:rPr>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center"/>
        <w:rPr>
          <w:b/>
          <w:sz w:val="22"/>
          <w:u w:val="single"/>
        </w:rPr>
      </w:pPr>
      <w:r>
        <w:rPr>
          <w:b/>
          <w:sz w:val="22"/>
          <w:u w:val="single"/>
        </w:rPr>
        <w:t>TRANSWESTERN PIPELINE COMPANY</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b/>
          <w:sz w:val="22"/>
          <w:u w:val="single"/>
        </w:rPr>
      </w:pPr>
      <w:r>
        <w:rPr>
          <w:b/>
          <w:sz w:val="22"/>
          <w:u w:val="single"/>
        </w:rPr>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b/>
          <w:sz w:val="22"/>
        </w:rPr>
      </w:pPr>
      <w:r>
        <w:rPr>
          <w:b/>
          <w:sz w:val="22"/>
        </w:rPr>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pPr>
      <w:r>
        <w:rPr>
          <w:sz w:val="22"/>
        </w:rPr>
        <w:t>CP98-795</w:t>
        <w:tab/>
      </w:r>
      <w:r>
        <w:rPr>
          <w:b/>
          <w:sz w:val="22"/>
        </w:rPr>
        <w:t>UPH/BURTON FLATS SALE AND CRAWFORD COMPRESSOR RELOCATION</w:t>
      </w:r>
      <w:r>
        <w:rPr>
          <w:sz w:val="22"/>
        </w:rPr>
        <w:t xml:space="preserve"> - Section 7(b) application for permission and approval to abandon by sale to Union Pacific Highlands Gathering and Processing Company (UPH) approximately 58 miles of pipeline and the Crawford Compressor Station site.  Also filed a Section 7(c) application requesting permission to abandon and relocate two 1100 horsepower compressors at the Crawford Compressor Station to the tailgate of a proposed new processing plant to be built by UPH. Meetings held on April 15 and May 4 to discuss conditions, timetable and compliance status. The original purchaser, UPH, was acquired by Duke Energy prior to receiving an Order from the Commission.  On July 8, notified FERC that the first, of a two-part closing, became effective July 1, 1999. Negotiations/discussions on the remaining facilities are ongoing.  Subsequent negotiations with Duke have resulted in the cancellation of the second closing.  Once operations have been reviewed and finalized to accommodate this latest operational configuration, we intend to file a letter with FERC explaining the situation.</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sz w:val="22"/>
        </w:rPr>
      </w:pPr>
      <w:r>
        <w:rPr>
          <w:sz w:val="22"/>
        </w:rPr>
        <w:tab/>
        <w:tab/>
        <w:t>A letter is being prepared for comments to notify FERC that, due to economic reasons of Duke, the second closing/abandonment will not take place.  This decision will also preclude the need to relocate the compressor station.  Property Accounting has been notified to prepare and submit the appropriate entries to FERC related to the first closing to comply with a Condition in the Order.</w:t>
      </w:r>
    </w:p>
    <w:p>
      <w:pPr>
        <w:pStyle w:val="Normal"/>
        <w:ind w:hanging="1440" w:start="1440" w:end="0"/>
        <w:jc w:val="both"/>
        <w:rPr/>
      </w:pPr>
      <w:r>
        <w:rPr>
          <w:sz w:val="22"/>
        </w:rPr>
        <w:tab/>
      </w:r>
      <w:r>
        <w:rPr>
          <w:bCs/>
          <w:sz w:val="22"/>
        </w:rPr>
        <w:t>January 12, 2001 – Filed a letter with the Secretary’s office asking for a modification to the Order dated April 1, 1999 that approved the sale of certain facilities and relocation of an existing compressor station.  Duke Energy Field Services (Duke), upon review of associated supply and operating conditions, does not wish to complete the purchase as originally proposed.  Duke, as successor in interest to Highland Gathering &amp; Processing, was not the original negotiating party.  Instead, Duke did purchase, and FERC was notified of the closing, the majority of facilities originally proposed in July 1999.</w:t>
      </w:r>
    </w:p>
    <w:p>
      <w:pPr>
        <w:pStyle w:val="Normal"/>
        <w:ind w:hanging="1440" w:start="1440" w:end="0"/>
        <w:jc w:val="both"/>
        <w:rPr>
          <w:bCs/>
          <w:sz w:val="22"/>
        </w:rPr>
      </w:pPr>
      <w:r>
        <w:rPr>
          <w:bCs/>
          <w:sz w:val="22"/>
        </w:rPr>
        <w:tab/>
        <w:t xml:space="preserve">February 20, 2001 – FERC issued a “Notice of Motion to Vacate” based on TW’s January 12 filing.  Intervention/Comment period ends March 2, 2001.  </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bCs/>
          <w:sz w:val="22"/>
        </w:rPr>
      </w:pPr>
      <w:r>
        <w:rPr>
          <w:bCs/>
          <w:sz w:val="22"/>
        </w:rPr>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sz w:val="22"/>
        </w:rPr>
      </w:pPr>
      <w:r>
        <w:rPr>
          <w:sz w:val="22"/>
        </w:rPr>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sz w:val="22"/>
        </w:rPr>
      </w:pPr>
      <w:r>
        <w:rPr>
          <w:sz w:val="22"/>
        </w:rPr>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pPr>
      <w:r>
        <w:rPr>
          <w:sz w:val="22"/>
        </w:rPr>
        <w:t xml:space="preserve">    </w:t>
      </w:r>
      <w:r>
        <w:rPr>
          <w:b/>
          <w:sz w:val="22"/>
        </w:rPr>
        <w:t xml:space="preserve">  </w:t>
      </w:r>
      <w:r>
        <w:rPr>
          <w:b/>
          <w:sz w:val="22"/>
        </w:rPr>
        <w:tab/>
        <w:tab/>
      </w:r>
      <w:r>
        <w:rPr>
          <w:bCs/>
          <w:sz w:val="22"/>
          <w:u w:val="single"/>
        </w:rPr>
        <w:t>REMAINING CONDITIONS</w:t>
      </w:r>
      <w:r>
        <w:rPr>
          <w:bCs/>
          <w:sz w:val="22"/>
        </w:rPr>
        <w:t xml:space="preserve">: </w:t>
      </w:r>
    </w:p>
    <w:p>
      <w:pPr>
        <w:pStyle w:val="Normal"/>
        <w:numPr>
          <w:ilvl w:val="0"/>
          <w:numId w:val="3"/>
        </w:numPr>
        <w:tabs>
          <w:tab w:val="left" w:pos="-720" w:leader="none"/>
          <w:tab w:val="left" w:pos="720" w:leader="none"/>
          <w:tab w:val="left" w:pos="1440" w:leader="none"/>
          <w:tab w:val="left" w:pos="2160" w:leader="none"/>
          <w:tab w:val="left" w:pos="5760" w:leader="none"/>
        </w:tabs>
        <w:jc w:val="both"/>
        <w:rPr>
          <w:bCs/>
          <w:sz w:val="22"/>
        </w:rPr>
      </w:pPr>
      <w:r>
        <w:rPr>
          <w:bCs/>
          <w:sz w:val="22"/>
        </w:rPr>
        <w:t>Notice of abandonment must be filed within ten (10) days.</w:t>
      </w:r>
    </w:p>
    <w:p>
      <w:pPr>
        <w:pStyle w:val="Normal"/>
        <w:numPr>
          <w:ilvl w:val="0"/>
          <w:numId w:val="3"/>
        </w:numPr>
        <w:tabs>
          <w:tab w:val="left" w:pos="-720" w:leader="none"/>
          <w:tab w:val="left" w:pos="720" w:leader="none"/>
          <w:tab w:val="left" w:pos="1440" w:leader="none"/>
          <w:tab w:val="left" w:pos="2160" w:leader="none"/>
          <w:tab w:val="left" w:pos="5760" w:leader="none"/>
        </w:tabs>
        <w:jc w:val="both"/>
        <w:rPr>
          <w:bCs/>
          <w:sz w:val="22"/>
        </w:rPr>
      </w:pPr>
      <w:r>
        <w:rPr>
          <w:bCs/>
          <w:sz w:val="22"/>
        </w:rPr>
        <w:t>Noise survey must be filed 60 days after placing new Crawford Compressor Station in service.</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rPr/>
      </w:pPr>
      <w:r>
        <w:rPr>
          <w:b/>
          <w:sz w:val="22"/>
        </w:rPr>
        <w:tab/>
        <w:tab/>
        <w:tab/>
      </w:r>
      <w:r>
        <w:rPr>
          <w:sz w:val="22"/>
        </w:rPr>
        <w:t>Filed:</w:t>
        <w:tab/>
        <w:t>09/23/98</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rPr/>
      </w:pPr>
      <w:r>
        <w:rPr>
          <w:sz w:val="22"/>
        </w:rPr>
        <w:tab/>
        <w:tab/>
        <w:tab/>
        <w:t xml:space="preserve">Order approving abandonment: </w:t>
        <w:tab/>
        <w:t>04/01/99</w:t>
      </w:r>
      <w:r>
        <w:rPr>
          <w:b/>
          <w:sz w:val="22"/>
        </w:rPr>
        <w:t xml:space="preserve"> </w:t>
      </w:r>
      <w:r>
        <w:rPr>
          <w:sz w:val="16"/>
        </w:rPr>
        <w:t>87 FERC ¶ 61,004 (1999)</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sz w:val="22"/>
        </w:rPr>
      </w:pPr>
      <w:r>
        <w:rPr>
          <w:sz w:val="22"/>
        </w:rPr>
        <w:tab/>
        <w:tab/>
        <w:tab/>
        <w:t xml:space="preserve">Certificate Accepted:  </w:t>
        <w:tab/>
        <w:t>04/26/99</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sz w:val="22"/>
        </w:rPr>
      </w:pPr>
      <w:r>
        <w:rPr>
          <w:sz w:val="22"/>
        </w:rPr>
        <w:tab/>
        <w:tab/>
        <w:tab/>
        <w:t>Motion to Vacate filed:</w:t>
        <w:tab/>
        <w:t>01/12/01</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sz w:val="22"/>
        </w:rPr>
      </w:pPr>
      <w:r>
        <w:rPr>
          <w:sz w:val="22"/>
        </w:rPr>
        <w:tab/>
        <w:tab/>
        <w:tab/>
        <w:t>Motion Noticed:</w:t>
        <w:tab/>
        <w:t>02/20/01</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sz w:val="22"/>
        </w:rPr>
      </w:pPr>
      <w:r>
        <w:rPr>
          <w:sz w:val="22"/>
        </w:rPr>
        <w:tab/>
        <w:tab/>
        <w:tab/>
        <w:t>Intervention period ends:</w:t>
        <w:tab/>
        <w:t>03/02/01</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center"/>
        <w:rPr>
          <w:sz w:val="22"/>
        </w:rPr>
      </w:pPr>
      <w:r>
        <w:rPr>
          <w:sz w:val="22"/>
        </w:rPr>
        <w:t>Regulatory Contact:  Vig</w:t>
      </w:r>
    </w:p>
    <w:p>
      <w:pPr>
        <w:pStyle w:val="Normal"/>
        <w:tabs>
          <w:tab w:val="left" w:pos="-720" w:leader="none"/>
          <w:tab w:val="left" w:pos="0" w:leader="none"/>
          <w:tab w:val="left" w:pos="720" w:leader="none"/>
          <w:tab w:val="left" w:pos="1440" w:leader="none"/>
          <w:tab w:val="left" w:pos="2160" w:leader="none"/>
          <w:tab w:val="left" w:pos="5760" w:leader="none"/>
        </w:tabs>
        <w:jc w:val="both"/>
        <w:rPr>
          <w:b/>
          <w:sz w:val="22"/>
        </w:rPr>
      </w:pPr>
      <w:r>
        <w:rPr>
          <w:b/>
          <w:sz w:val="22"/>
        </w:rPr>
      </w:r>
    </w:p>
    <w:p>
      <w:pPr>
        <w:pStyle w:val="Normal"/>
        <w:tabs>
          <w:tab w:val="left" w:pos="-720" w:leader="none"/>
          <w:tab w:val="left" w:pos="0" w:leader="none"/>
          <w:tab w:val="left" w:pos="720" w:leader="none"/>
          <w:tab w:val="left" w:pos="1440" w:leader="none"/>
          <w:tab w:val="left" w:pos="2160" w:leader="none"/>
          <w:tab w:val="left" w:pos="5760" w:leader="none"/>
        </w:tabs>
        <w:jc w:val="both"/>
        <w:rPr>
          <w:b/>
          <w:sz w:val="22"/>
        </w:rPr>
      </w:pPr>
      <w:r>
        <w:rPr>
          <w:b/>
          <w:sz w:val="22"/>
        </w:rPr>
      </w:r>
    </w:p>
    <w:p>
      <w:pPr>
        <w:pStyle w:val="Normal"/>
        <w:tabs>
          <w:tab w:val="left" w:pos="-720" w:leader="none"/>
          <w:tab w:val="left" w:pos="0" w:leader="none"/>
          <w:tab w:val="left" w:pos="720" w:leader="none"/>
          <w:tab w:val="left" w:pos="1440" w:leader="none"/>
          <w:tab w:val="left" w:pos="2160" w:leader="none"/>
          <w:tab w:val="left" w:pos="5760" w:leader="none"/>
        </w:tabs>
        <w:jc w:val="both"/>
        <w:rPr>
          <w:b/>
          <w:sz w:val="22"/>
        </w:rPr>
      </w:pPr>
      <w:r>
        <w:rPr>
          <w:b/>
          <w:sz w:val="22"/>
        </w:rPr>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pPr>
      <w:r>
        <w:rPr>
          <w:sz w:val="22"/>
        </w:rPr>
        <w:t>CP98-233</w:t>
        <w:tab/>
      </w:r>
      <w:r>
        <w:rPr>
          <w:b/>
          <w:sz w:val="22"/>
        </w:rPr>
        <w:t>KN INTERSTATE/LIPSCOMB MOCANE &amp; LEEDY LATERAL SALE</w:t>
      </w:r>
      <w:r>
        <w:rPr>
          <w:sz w:val="22"/>
        </w:rPr>
        <w:t xml:space="preserve"> - Section 7(b) application for permission and approval to abandon, by sale to K N Interstate Transmission Company, Transwestern’s Lipscomb Mocane and Leedy laterals. Mewbourne withdrew its protest October 1, 1998. Aurora did </w:t>
      </w:r>
      <w:r>
        <w:rPr>
          <w:sz w:val="22"/>
          <w:u w:val="single"/>
        </w:rPr>
        <w:t>not</w:t>
      </w:r>
      <w:r>
        <w:rPr>
          <w:sz w:val="22"/>
        </w:rPr>
        <w:t xml:space="preserve"> withdraw its protest.  On December 22, 1998, the Commission issued an Order Denying Protest and Approving Abandonment.  A Second Amendment to the Asset Purchase Agreement was executed January 31, 2000 extending the terms of the agreement until March 31, 2000.  An agreement to assign the original Asset Purchase Agreement, as amended, to OneOk, Inc. was executed April 5, 2000.  OneOk has until July 5, 2000 to notify Transwestern of its intent to purchase the subject facilities.  By letter dated June 26, 2000, ONEOK officially exercised its right to terminate the Asset Purchase Agreement for this transaction.  However, ONEOK also indicated that it planned to make an unsolicited arms length offer to purchase these facilities.  If an offer is not made for these assets, Transwestern will file to vacate this order.  A Motion to Vacate this order was filed on December 11, 2000. </w:t>
      </w:r>
    </w:p>
    <w:p>
      <w:pPr>
        <w:pStyle w:val="Normal"/>
        <w:tabs>
          <w:tab w:val="left" w:pos="-720" w:leader="none"/>
          <w:tab w:val="left" w:pos="0" w:leader="none"/>
          <w:tab w:val="left" w:pos="720" w:leader="none"/>
          <w:tab w:val="left" w:pos="1440" w:leader="none"/>
          <w:tab w:val="left" w:pos="2160" w:leader="none"/>
          <w:tab w:val="left" w:pos="5760" w:leader="none"/>
        </w:tabs>
        <w:jc w:val="both"/>
        <w:rPr>
          <w:sz w:val="22"/>
        </w:rPr>
      </w:pPr>
      <w:r>
        <w:rPr>
          <w:sz w:val="22"/>
        </w:rPr>
        <w:tab/>
        <w:tab/>
        <w:tab/>
        <w:t>Filed:</w:t>
        <w:tab/>
        <w:tab/>
        <w:t>02/13/98</w:t>
      </w:r>
    </w:p>
    <w:p>
      <w:pPr>
        <w:pStyle w:val="Normal"/>
        <w:tabs>
          <w:tab w:val="left" w:pos="-720" w:leader="none"/>
          <w:tab w:val="left" w:pos="0" w:leader="none"/>
          <w:tab w:val="left" w:pos="720" w:leader="none"/>
          <w:tab w:val="left" w:pos="1440" w:leader="none"/>
          <w:tab w:val="left" w:pos="2160" w:leader="none"/>
          <w:tab w:val="left" w:pos="5760" w:leader="none"/>
        </w:tabs>
        <w:jc w:val="both"/>
        <w:rPr/>
      </w:pPr>
      <w:r>
        <w:rPr>
          <w:sz w:val="22"/>
        </w:rPr>
        <w:tab/>
        <w:tab/>
        <w:tab/>
        <w:t>Order Issued:</w:t>
        <w:tab/>
        <w:tab/>
        <w:t>12/22/98</w:t>
      </w:r>
      <w:r>
        <w:rPr>
          <w:b/>
          <w:sz w:val="22"/>
        </w:rPr>
        <w:t xml:space="preserve"> </w:t>
      </w:r>
      <w:r>
        <w:rPr>
          <w:sz w:val="16"/>
        </w:rPr>
        <w:t>85 FERC ¶61,416 (1998)</w:t>
      </w:r>
    </w:p>
    <w:p>
      <w:pPr>
        <w:pStyle w:val="Normal"/>
        <w:tabs>
          <w:tab w:val="left" w:pos="-720" w:leader="none"/>
          <w:tab w:val="left" w:pos="0" w:leader="none"/>
          <w:tab w:val="left" w:pos="720" w:leader="none"/>
          <w:tab w:val="left" w:pos="1440" w:leader="none"/>
          <w:tab w:val="left" w:pos="2160" w:leader="none"/>
          <w:tab w:val="left" w:pos="5760" w:leader="none"/>
        </w:tabs>
        <w:jc w:val="both"/>
        <w:rPr>
          <w:b/>
          <w:sz w:val="22"/>
        </w:rPr>
      </w:pPr>
      <w:r>
        <w:rPr>
          <w:sz w:val="16"/>
        </w:rPr>
        <w:tab/>
        <w:tab/>
        <w:tab/>
      </w:r>
      <w:r>
        <w:rPr>
          <w:sz w:val="22"/>
        </w:rPr>
        <w:t>Order on Motion to Vacate:</w:t>
        <w:tab/>
        <w:tab/>
        <w:t>Pending</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center"/>
        <w:rPr>
          <w:sz w:val="22"/>
        </w:rPr>
      </w:pPr>
      <w:r>
        <w:rPr>
          <w:sz w:val="22"/>
        </w:rPr>
        <w:t>Regulatory Contact:  Michele</w:t>
      </w:r>
    </w:p>
    <w:p>
      <w:pPr>
        <w:pStyle w:val="Normal"/>
        <w:tabs>
          <w:tab w:val="left" w:pos="-720" w:leader="none"/>
          <w:tab w:val="left" w:pos="720" w:leader="none"/>
          <w:tab w:val="left" w:pos="1440" w:leader="none"/>
          <w:tab w:val="left" w:pos="2160" w:leader="none"/>
          <w:tab w:val="left" w:pos="5760" w:leader="none"/>
        </w:tabs>
        <w:ind w:hanging="1440" w:start="1440" w:end="0"/>
        <w:jc w:val="both"/>
        <w:rPr>
          <w:sz w:val="22"/>
        </w:rPr>
      </w:pPr>
      <w:r>
        <w:rPr>
          <w:sz w:val="22"/>
        </w:rPr>
      </w:r>
    </w:p>
    <w:p>
      <w:pPr>
        <w:pStyle w:val="Normal"/>
        <w:tabs>
          <w:tab w:val="left" w:pos="-720" w:leader="none"/>
          <w:tab w:val="left" w:pos="720" w:leader="none"/>
          <w:tab w:val="left" w:pos="1440" w:leader="none"/>
          <w:tab w:val="left" w:pos="2160" w:leader="none"/>
          <w:tab w:val="left" w:pos="5760" w:leader="none"/>
        </w:tabs>
        <w:ind w:hanging="1440" w:start="1440" w:end="0"/>
        <w:jc w:val="both"/>
        <w:rPr>
          <w:sz w:val="22"/>
        </w:rPr>
      </w:pPr>
      <w:r>
        <w:rPr>
          <w:sz w:val="22"/>
        </w:rPr>
      </w:r>
    </w:p>
    <w:p>
      <w:pPr>
        <w:pStyle w:val="Normal"/>
        <w:keepNext w:val="true"/>
        <w:keepLines/>
        <w:tabs>
          <w:tab w:val="left" w:pos="-720" w:leader="none"/>
          <w:tab w:val="left" w:pos="0" w:leader="none"/>
          <w:tab w:val="left" w:pos="720" w:leader="none"/>
          <w:tab w:val="left" w:pos="1440" w:leader="none"/>
          <w:tab w:val="left" w:pos="2160" w:leader="none"/>
          <w:tab w:val="left" w:pos="5760" w:leader="none"/>
        </w:tabs>
        <w:ind w:hanging="1440" w:start="1440" w:end="0"/>
        <w:jc w:val="both"/>
        <w:rPr/>
      </w:pPr>
      <w:r>
        <w:rPr>
          <w:sz w:val="22"/>
        </w:rPr>
        <w:t>CP94-751-000</w:t>
        <w:tab/>
      </w:r>
      <w:r>
        <w:rPr>
          <w:b/>
          <w:sz w:val="22"/>
        </w:rPr>
        <w:t>ABANDONMENT OF FACILITIES</w:t>
      </w:r>
      <w:r>
        <w:rPr>
          <w:sz w:val="22"/>
        </w:rPr>
        <w:t xml:space="preserve"> - Section 7(b) filing for permission and approval to abandon and remove certain transmission and gathering facilities.  Removal of assets is ongoing.</w:t>
      </w:r>
    </w:p>
    <w:p>
      <w:pPr>
        <w:pStyle w:val="Normal"/>
        <w:keepNext w:val="true"/>
        <w:keepLines/>
        <w:tabs>
          <w:tab w:val="left" w:pos="-720" w:leader="none"/>
          <w:tab w:val="left" w:pos="720" w:leader="none"/>
          <w:tab w:val="left" w:pos="1440" w:leader="none"/>
          <w:tab w:val="left" w:pos="2160" w:leader="none"/>
          <w:tab w:val="left" w:pos="5760" w:leader="none"/>
        </w:tabs>
        <w:ind w:hanging="1440" w:start="1440" w:end="0"/>
        <w:jc w:val="both"/>
        <w:rPr/>
      </w:pPr>
      <w:r>
        <w:rPr>
          <w:sz w:val="22"/>
        </w:rPr>
        <w:tab/>
        <w:tab/>
      </w:r>
      <w:r>
        <w:rPr>
          <w:b/>
          <w:sz w:val="22"/>
          <w:u w:val="single"/>
        </w:rPr>
        <w:t>REMAINING CONDITION</w:t>
      </w:r>
      <w:r>
        <w:rPr>
          <w:b/>
          <w:sz w:val="22"/>
        </w:rPr>
        <w:t>:</w:t>
      </w:r>
    </w:p>
    <w:p>
      <w:pPr>
        <w:pStyle w:val="Normal"/>
        <w:keepNext w:val="true"/>
        <w:keepLines/>
        <w:numPr>
          <w:ilvl w:val="0"/>
          <w:numId w:val="3"/>
        </w:numPr>
        <w:tabs>
          <w:tab w:val="left" w:pos="-720" w:leader="none"/>
          <w:tab w:val="left" w:pos="720" w:leader="none"/>
          <w:tab w:val="left" w:pos="1440" w:leader="none"/>
          <w:tab w:val="left" w:pos="2160" w:leader="none"/>
          <w:tab w:val="left" w:pos="5760" w:leader="none"/>
        </w:tabs>
        <w:jc w:val="both"/>
        <w:rPr>
          <w:sz w:val="22"/>
        </w:rPr>
      </w:pPr>
      <w:r>
        <w:rPr>
          <w:b/>
          <w:sz w:val="22"/>
        </w:rPr>
        <w:t>Status reports being filed by Legal.</w:t>
      </w:r>
    </w:p>
    <w:p>
      <w:pPr>
        <w:pStyle w:val="Normal"/>
        <w:keepNext w:val="true"/>
        <w:keepLines/>
        <w:tabs>
          <w:tab w:val="left" w:pos="-720" w:leader="none"/>
          <w:tab w:val="left" w:pos="0" w:leader="none"/>
          <w:tab w:val="left" w:pos="720" w:leader="none"/>
          <w:tab w:val="left" w:pos="1440" w:leader="none"/>
          <w:tab w:val="left" w:pos="2160" w:leader="none"/>
          <w:tab w:val="left" w:pos="5760" w:leader="none"/>
        </w:tabs>
        <w:jc w:val="both"/>
        <w:rPr>
          <w:sz w:val="22"/>
        </w:rPr>
      </w:pPr>
      <w:r>
        <w:rPr>
          <w:sz w:val="22"/>
        </w:rPr>
        <w:tab/>
        <w:tab/>
        <w:tab/>
        <w:t>Filed:</w:t>
        <w:tab/>
        <w:tab/>
        <w:t>08/30/94</w:t>
      </w:r>
    </w:p>
    <w:p>
      <w:pPr>
        <w:pStyle w:val="Normal"/>
        <w:keepNext w:val="true"/>
        <w:keepLines/>
        <w:tabs>
          <w:tab w:val="left" w:pos="-720" w:leader="none"/>
          <w:tab w:val="left" w:pos="0" w:leader="none"/>
          <w:tab w:val="left" w:pos="720" w:leader="none"/>
          <w:tab w:val="left" w:pos="1440" w:leader="none"/>
          <w:tab w:val="left" w:pos="2160" w:leader="none"/>
          <w:tab w:val="left" w:pos="5760" w:leader="none"/>
        </w:tabs>
        <w:jc w:val="both"/>
        <w:rPr>
          <w:sz w:val="22"/>
        </w:rPr>
      </w:pPr>
      <w:r>
        <w:rPr>
          <w:sz w:val="22"/>
        </w:rPr>
        <w:tab/>
        <w:tab/>
        <w:tab/>
        <w:t>Filed Amendment to Application:</w:t>
        <w:tab/>
        <w:tab/>
        <w:t>10/03/94</w:t>
      </w:r>
    </w:p>
    <w:p>
      <w:pPr>
        <w:pStyle w:val="Normal"/>
        <w:keepNext w:val="true"/>
        <w:keepLines/>
        <w:tabs>
          <w:tab w:val="left" w:pos="-720" w:leader="none"/>
          <w:tab w:val="left" w:pos="0" w:leader="none"/>
          <w:tab w:val="left" w:pos="720" w:leader="none"/>
          <w:tab w:val="left" w:pos="1440" w:leader="none"/>
          <w:tab w:val="left" w:pos="2160" w:leader="none"/>
          <w:tab w:val="left" w:pos="5760" w:leader="none"/>
        </w:tabs>
        <w:jc w:val="both"/>
        <w:rPr>
          <w:sz w:val="22"/>
        </w:rPr>
      </w:pPr>
      <w:r>
        <w:rPr>
          <w:sz w:val="22"/>
        </w:rPr>
        <w:tab/>
        <w:tab/>
        <w:tab/>
        <w:t>Filed Amendment to Application:</w:t>
        <w:tab/>
        <w:tab/>
        <w:t>05/01/95</w:t>
      </w:r>
    </w:p>
    <w:p>
      <w:pPr>
        <w:pStyle w:val="Normal"/>
        <w:keepNext w:val="true"/>
        <w:keepLines/>
        <w:tabs>
          <w:tab w:val="left" w:pos="-720" w:leader="none"/>
          <w:tab w:val="left" w:pos="0" w:leader="none"/>
          <w:tab w:val="left" w:pos="720" w:leader="none"/>
          <w:tab w:val="left" w:pos="1440" w:leader="none"/>
          <w:tab w:val="left" w:pos="2160" w:leader="none"/>
          <w:tab w:val="left" w:pos="5760" w:leader="none"/>
        </w:tabs>
        <w:jc w:val="both"/>
        <w:rPr/>
      </w:pPr>
      <w:r>
        <w:rPr>
          <w:sz w:val="22"/>
        </w:rPr>
        <w:tab/>
        <w:tab/>
        <w:tab/>
        <w:t>Order Approving Abandonment:</w:t>
        <w:tab/>
        <w:tab/>
        <w:t xml:space="preserve">07/27/95  </w:t>
      </w:r>
      <w:r>
        <w:rPr>
          <w:sz w:val="16"/>
        </w:rPr>
        <w:t>71 FERC ¶61,085 (1995)</w:t>
      </w:r>
    </w:p>
    <w:p>
      <w:pPr>
        <w:pStyle w:val="Normal"/>
        <w:keepNext w:val="true"/>
        <w:keepLines/>
        <w:tabs>
          <w:tab w:val="left" w:pos="-720" w:leader="none"/>
          <w:tab w:val="left" w:pos="0" w:leader="none"/>
          <w:tab w:val="left" w:pos="720" w:leader="none"/>
          <w:tab w:val="left" w:pos="1440" w:leader="none"/>
          <w:tab w:val="left" w:pos="2160" w:leader="none"/>
          <w:tab w:val="left" w:pos="5760" w:leader="none"/>
        </w:tabs>
        <w:jc w:val="both"/>
        <w:rPr>
          <w:sz w:val="22"/>
        </w:rPr>
      </w:pPr>
      <w:r>
        <w:rPr>
          <w:sz w:val="22"/>
        </w:rPr>
        <w:t>CP94-751-003</w:t>
        <w:tab/>
        <w:tab/>
        <w:t>Request for Rehearing:</w:t>
        <w:tab/>
        <w:tab/>
        <w:t xml:space="preserve">08/28/95  </w:t>
      </w:r>
    </w:p>
    <w:p>
      <w:pPr>
        <w:pStyle w:val="Normal"/>
        <w:keepNext w:val="true"/>
        <w:keepLines/>
        <w:tabs>
          <w:tab w:val="left" w:pos="-720" w:leader="none"/>
          <w:tab w:val="left" w:pos="0" w:leader="none"/>
          <w:tab w:val="left" w:pos="720" w:leader="none"/>
          <w:tab w:val="left" w:pos="1440" w:leader="none"/>
          <w:tab w:val="left" w:pos="2160" w:leader="none"/>
          <w:tab w:val="left" w:pos="5760" w:leader="none"/>
        </w:tabs>
        <w:jc w:val="both"/>
        <w:rPr>
          <w:sz w:val="22"/>
        </w:rPr>
      </w:pPr>
      <w:r>
        <w:rPr>
          <w:sz w:val="22"/>
        </w:rPr>
        <w:tab/>
        <w:tab/>
        <w:tab/>
        <w:t>Order Denying Rehearing:</w:t>
        <w:tab/>
        <w:tab/>
        <w:t>10/17/95</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sz w:val="22"/>
        </w:rPr>
      </w:pPr>
      <w:r>
        <w:rPr>
          <w:sz w:val="22"/>
        </w:rPr>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sz w:val="22"/>
        </w:rPr>
      </w:pPr>
      <w:r>
        <w:rPr>
          <w:sz w:val="22"/>
        </w:rPr>
        <w:t>CP94-751-004</w:t>
      </w:r>
      <w:r>
        <w:rPr>
          <w:b/>
          <w:sz w:val="22"/>
        </w:rPr>
        <w:tab/>
        <w:t xml:space="preserve">751 AMENDMENT (2ND) - </w:t>
      </w:r>
      <w:r>
        <w:rPr>
          <w:sz w:val="22"/>
        </w:rPr>
        <w:t>Amendment to application requests permission to abandon certain of the facilities in the original application by sale to third parties rather than removal.  There are five (5) separate closings. Closed are sale to Conoco, Agave Energy Company, and Enron Oil &amp; Gas.</w:t>
      </w:r>
      <w:r>
        <w:rPr>
          <w:b/>
          <w:sz w:val="22"/>
        </w:rPr>
        <w:t xml:space="preserve">  </w:t>
      </w:r>
      <w:r>
        <w:rPr>
          <w:sz w:val="22"/>
        </w:rPr>
        <w:t xml:space="preserve">Bills of Sale for remaining facilities drafted by Legal. Pending sales are Mobil Producing Texas and New Mexico, Inc. and Highlands Gathering &amp; Processing Company.  Negotiations continue with Duke (successor in interest) to execute the closing of the Mobil and Highlands sales. </w:t>
      </w:r>
      <w:r>
        <w:rPr>
          <w:b/>
          <w:sz w:val="22"/>
        </w:rPr>
        <w:t xml:space="preserve"> </w:t>
      </w:r>
    </w:p>
    <w:p>
      <w:pPr>
        <w:pStyle w:val="Normal"/>
        <w:tabs>
          <w:tab w:val="left" w:pos="-720" w:leader="none"/>
          <w:tab w:val="left" w:pos="720" w:leader="none"/>
          <w:tab w:val="left" w:pos="1440" w:leader="none"/>
          <w:tab w:val="left" w:pos="2160" w:leader="none"/>
          <w:tab w:val="left" w:pos="5760" w:leader="none"/>
        </w:tabs>
        <w:ind w:hanging="1440" w:start="1440" w:end="0"/>
        <w:jc w:val="both"/>
        <w:rPr/>
      </w:pPr>
      <w:r>
        <w:rPr>
          <w:sz w:val="22"/>
        </w:rPr>
        <w:tab/>
        <w:tab/>
      </w:r>
      <w:r>
        <w:rPr>
          <w:b/>
          <w:sz w:val="22"/>
          <w:u w:val="single"/>
        </w:rPr>
        <w:t>REMAINING CONDITION</w:t>
      </w:r>
      <w:r>
        <w:rPr>
          <w:b/>
          <w:sz w:val="22"/>
        </w:rPr>
        <w:t>:</w:t>
      </w:r>
    </w:p>
    <w:p>
      <w:pPr>
        <w:pStyle w:val="Normal"/>
        <w:numPr>
          <w:ilvl w:val="0"/>
          <w:numId w:val="3"/>
        </w:numPr>
        <w:tabs>
          <w:tab w:val="left" w:pos="-720" w:leader="none"/>
          <w:tab w:val="left" w:pos="720" w:leader="none"/>
          <w:tab w:val="left" w:pos="1440" w:leader="none"/>
          <w:tab w:val="left" w:pos="2160" w:leader="none"/>
          <w:tab w:val="left" w:pos="5760" w:leader="none"/>
        </w:tabs>
        <w:jc w:val="both"/>
        <w:rPr>
          <w:b/>
          <w:sz w:val="22"/>
        </w:rPr>
      </w:pPr>
      <w:r>
        <w:rPr>
          <w:b/>
          <w:sz w:val="22"/>
        </w:rPr>
        <w:t>Notice of abandonment.</w:t>
      </w:r>
    </w:p>
    <w:p>
      <w:pPr>
        <w:pStyle w:val="Normal"/>
        <w:rPr>
          <w:sz w:val="22"/>
        </w:rPr>
      </w:pPr>
      <w:r>
        <w:rPr>
          <w:sz w:val="22"/>
        </w:rPr>
        <w:tab/>
        <w:tab/>
        <w:tab/>
        <w:t>Filed Amendment to Application:</w:t>
        <w:tab/>
        <w:tab/>
        <w:t>11/13/95</w:t>
      </w:r>
    </w:p>
    <w:p>
      <w:pPr>
        <w:pStyle w:val="Normal"/>
        <w:rPr/>
      </w:pPr>
      <w:r>
        <w:rPr>
          <w:sz w:val="22"/>
        </w:rPr>
        <w:tab/>
        <w:tab/>
        <w:tab/>
        <w:t>Order Approving Abandonment:</w:t>
        <w:tab/>
        <w:tab/>
        <w:t xml:space="preserve">07/02/96 </w:t>
      </w:r>
      <w:r>
        <w:rPr>
          <w:sz w:val="16"/>
        </w:rPr>
        <w:t>76 FERC ¶62,006 (1996)</w:t>
      </w:r>
    </w:p>
    <w:p>
      <w:pPr>
        <w:pStyle w:val="Normal"/>
        <w:tabs>
          <w:tab w:val="clear" w:pos="720"/>
          <w:tab w:val="center" w:pos="4920" w:leader="none"/>
        </w:tabs>
        <w:jc w:val="both"/>
        <w:rPr>
          <w:sz w:val="22"/>
        </w:rPr>
      </w:pPr>
      <w:r>
        <w:rPr>
          <w:sz w:val="22"/>
        </w:rPr>
        <w:tab/>
        <w:t>Regulatory Contact:  Vig</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sz w:val="22"/>
        </w:rPr>
      </w:pPr>
      <w:r>
        <w:rPr>
          <w:sz w:val="22"/>
        </w:rPr>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sz w:val="22"/>
        </w:rPr>
      </w:pPr>
      <w:r>
        <w:rPr>
          <w:sz w:val="22"/>
        </w:rPr>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b/>
          <w:sz w:val="22"/>
        </w:rPr>
      </w:pPr>
      <w:r>
        <w:rPr>
          <w:sz w:val="22"/>
        </w:rPr>
        <w:t>CP94-751-005</w:t>
      </w:r>
      <w:r>
        <w:rPr>
          <w:b/>
          <w:sz w:val="22"/>
        </w:rPr>
        <w:tab/>
        <w:t xml:space="preserve">751 AMENDMENT (3RD) - </w:t>
      </w:r>
      <w:r>
        <w:rPr>
          <w:sz w:val="22"/>
        </w:rPr>
        <w:t xml:space="preserve">Amendment to application requests permission to abandon certain of the facilities in the original application by sale to Continental Natural Gas, Inc. and GPM Gas Corporation rather than remove the equipment as originally proposed.  Finals closing documents mailed to CMS and GPM.  Follow-up with the entities continues. </w:t>
      </w:r>
    </w:p>
    <w:p>
      <w:pPr>
        <w:pStyle w:val="Normal"/>
        <w:tabs>
          <w:tab w:val="left" w:pos="-720" w:leader="none"/>
          <w:tab w:val="left" w:pos="720" w:leader="none"/>
          <w:tab w:val="left" w:pos="1440" w:leader="none"/>
          <w:tab w:val="left" w:pos="2160" w:leader="none"/>
          <w:tab w:val="left" w:pos="5760" w:leader="none"/>
        </w:tabs>
        <w:ind w:hanging="1440" w:start="1440" w:end="0"/>
        <w:jc w:val="both"/>
        <w:rPr/>
      </w:pPr>
      <w:r>
        <w:rPr>
          <w:sz w:val="22"/>
        </w:rPr>
        <w:tab/>
        <w:tab/>
      </w:r>
      <w:r>
        <w:rPr>
          <w:b/>
          <w:sz w:val="22"/>
          <w:u w:val="single"/>
        </w:rPr>
        <w:t>REMAINING CONDITION</w:t>
      </w:r>
      <w:r>
        <w:rPr>
          <w:b/>
          <w:sz w:val="22"/>
        </w:rPr>
        <w:t>:</w:t>
      </w:r>
    </w:p>
    <w:p>
      <w:pPr>
        <w:pStyle w:val="Normal"/>
        <w:numPr>
          <w:ilvl w:val="0"/>
          <w:numId w:val="3"/>
        </w:numPr>
        <w:tabs>
          <w:tab w:val="left" w:pos="-720" w:leader="none"/>
          <w:tab w:val="left" w:pos="720" w:leader="none"/>
          <w:tab w:val="left" w:pos="1440" w:leader="none"/>
          <w:tab w:val="left" w:pos="2160" w:leader="none"/>
          <w:tab w:val="left" w:pos="5760" w:leader="none"/>
        </w:tabs>
        <w:jc w:val="both"/>
        <w:rPr>
          <w:b/>
          <w:sz w:val="22"/>
        </w:rPr>
      </w:pPr>
      <w:r>
        <w:rPr>
          <w:b/>
          <w:sz w:val="22"/>
        </w:rPr>
        <w:t>Notice of abandonment.</w:t>
      </w:r>
    </w:p>
    <w:p>
      <w:pPr>
        <w:pStyle w:val="Normal"/>
        <w:rPr>
          <w:sz w:val="22"/>
        </w:rPr>
      </w:pPr>
      <w:r>
        <w:rPr>
          <w:sz w:val="22"/>
        </w:rPr>
        <w:tab/>
        <w:tab/>
        <w:tab/>
        <w:t>Filed Amendment to Application:</w:t>
        <w:tab/>
        <w:tab/>
        <w:t>12/24/96</w:t>
      </w:r>
    </w:p>
    <w:p>
      <w:pPr>
        <w:pStyle w:val="Normal"/>
        <w:rPr>
          <w:sz w:val="18"/>
        </w:rPr>
      </w:pPr>
      <w:r>
        <w:rPr>
          <w:sz w:val="22"/>
        </w:rPr>
        <w:tab/>
        <w:tab/>
        <w:tab/>
        <w:t>Order issued:</w:t>
        <w:tab/>
        <w:tab/>
        <w:tab/>
        <w:tab/>
        <w:tab/>
        <w:t xml:space="preserve">11/03/97  </w:t>
      </w:r>
      <w:r>
        <w:rPr>
          <w:sz w:val="16"/>
        </w:rPr>
        <w:t>81 FERC ¶ 61,151 (1997)</w:t>
      </w:r>
    </w:p>
    <w:p>
      <w:pPr>
        <w:pStyle w:val="Normal"/>
        <w:tabs>
          <w:tab w:val="clear" w:pos="720"/>
          <w:tab w:val="center" w:pos="4920" w:leader="none"/>
        </w:tabs>
        <w:jc w:val="both"/>
        <w:rPr>
          <w:sz w:val="22"/>
        </w:rPr>
      </w:pPr>
      <w:r>
        <w:rPr>
          <w:sz w:val="22"/>
        </w:rPr>
        <w:tab/>
        <w:t>Regulatory Contact:  Vig</w:t>
      </w:r>
    </w:p>
    <w:p>
      <w:pPr>
        <w:pStyle w:val="Normal"/>
        <w:tabs>
          <w:tab w:val="clear" w:pos="720"/>
          <w:tab w:val="center" w:pos="4920" w:leader="none"/>
        </w:tabs>
        <w:jc w:val="both"/>
        <w:rPr>
          <w:sz w:val="22"/>
        </w:rPr>
      </w:pPr>
      <w:r>
        <w:rPr>
          <w:sz w:val="22"/>
        </w:rPr>
      </w:r>
    </w:p>
    <w:p>
      <w:pPr>
        <w:pStyle w:val="BodyTextIndent"/>
        <w:ind w:hanging="720" w:end="0"/>
        <w:rPr/>
      </w:pPr>
      <w:r>
        <w:rPr/>
        <w:tab/>
        <w:t>“751” Facilities –CMS conveyance documents received in September.  Duke document received in December.  A letter complying with the abandonment notification Condition of the Order will be prepared for comments and, once approved, sent to FERC.  This should conclude the “abandonment by sale” portion of the 751 filing.  Negotiations to sell some or all of the remaining 19 facilities, presently authorized for abandonment, continues.  We filed a letter with the Secretary’s office in June apprising them of the status of these 19 facilities.</w:t>
      </w:r>
    </w:p>
    <w:p>
      <w:pPr>
        <w:pStyle w:val="Normal"/>
        <w:tabs>
          <w:tab w:val="left" w:pos="-720" w:leader="none"/>
          <w:tab w:val="left" w:pos="0" w:leader="none"/>
          <w:tab w:val="left" w:pos="720" w:leader="none"/>
          <w:tab w:val="left" w:pos="1440" w:leader="none"/>
          <w:tab w:val="left" w:pos="2160" w:leader="none"/>
          <w:tab w:val="left" w:pos="5760" w:leader="none"/>
        </w:tabs>
        <w:rPr>
          <w:b/>
          <w:sz w:val="22"/>
          <w:u w:val="single"/>
        </w:rPr>
      </w:pPr>
      <w:r>
        <w:rPr>
          <w:b/>
          <w:sz w:val="22"/>
          <w:u w:val="single"/>
        </w:rPr>
      </w:r>
    </w:p>
    <w:p>
      <w:pPr>
        <w:pStyle w:val="Normal"/>
        <w:tabs>
          <w:tab w:val="left" w:pos="-720" w:leader="none"/>
          <w:tab w:val="left" w:pos="0" w:leader="none"/>
          <w:tab w:val="left" w:pos="720" w:leader="none"/>
          <w:tab w:val="left" w:pos="1440" w:leader="none"/>
          <w:tab w:val="left" w:pos="2160" w:leader="none"/>
          <w:tab w:val="left" w:pos="5760" w:leader="none"/>
        </w:tabs>
        <w:jc w:val="center"/>
        <w:rPr>
          <w:b/>
          <w:sz w:val="22"/>
          <w:u w:val="single"/>
        </w:rPr>
      </w:pPr>
      <w:r>
        <w:rPr>
          <w:b/>
          <w:sz w:val="22"/>
          <w:u w:val="single"/>
        </w:rPr>
      </w:r>
    </w:p>
    <w:p>
      <w:pPr>
        <w:pStyle w:val="Normal"/>
        <w:tabs>
          <w:tab w:val="left" w:pos="-720" w:leader="none"/>
          <w:tab w:val="left" w:pos="0" w:leader="none"/>
          <w:tab w:val="left" w:pos="720" w:leader="none"/>
          <w:tab w:val="left" w:pos="1440" w:leader="none"/>
          <w:tab w:val="left" w:pos="2160" w:leader="none"/>
          <w:tab w:val="left" w:pos="5760" w:leader="none"/>
        </w:tabs>
        <w:jc w:val="center"/>
        <w:rPr>
          <w:b/>
          <w:sz w:val="22"/>
          <w:u w:val="single"/>
        </w:rPr>
      </w:pPr>
      <w:r>
        <w:rPr>
          <w:b/>
          <w:sz w:val="22"/>
          <w:u w:val="single"/>
        </w:rPr>
        <w:t>NORTHERN NATURAL GAS COMPANY</w:t>
      </w:r>
    </w:p>
    <w:p>
      <w:pPr>
        <w:pStyle w:val="BodyTextIndent2"/>
        <w:jc w:val="center"/>
        <w:rPr>
          <w:rFonts w:ascii="Times New Roman" w:hAnsi="Times New Roman" w:cs="Times New Roman"/>
          <w:b w:val="false"/>
          <w:sz w:val="22"/>
          <w:u w:val="single"/>
        </w:rPr>
      </w:pPr>
      <w:r>
        <w:rPr>
          <w:rFonts w:cs="Times New Roman" w:ascii="Times New Roman" w:hAnsi="Times New Roman"/>
          <w:b w:val="false"/>
          <w:sz w:val="22"/>
          <w:u w:val="single"/>
        </w:rPr>
      </w:r>
    </w:p>
    <w:p>
      <w:pPr>
        <w:pStyle w:val="BodyTextIndent2"/>
        <w:jc w:val="center"/>
        <w:rPr>
          <w:rFonts w:ascii="Times New Roman" w:hAnsi="Times New Roman" w:cs="Times New Roman"/>
          <w:sz w:val="22"/>
        </w:rPr>
      </w:pPr>
      <w:r>
        <w:rPr>
          <w:rFonts w:cs="Times New Roman" w:ascii="Times New Roman" w:hAnsi="Times New Roman"/>
          <w:sz w:val="22"/>
        </w:rPr>
      </w:r>
    </w:p>
    <w:p>
      <w:pPr>
        <w:pStyle w:val="BodyTextIndent3"/>
        <w:tabs>
          <w:tab w:val="left" w:pos="-720" w:leader="none"/>
          <w:tab w:val="left" w:pos="0" w:leader="none"/>
          <w:tab w:val="left" w:pos="720" w:leader="none"/>
          <w:tab w:val="left" w:pos="1440" w:leader="none"/>
          <w:tab w:val="left" w:pos="2160" w:leader="none"/>
          <w:tab w:val="left" w:pos="5760" w:leader="none"/>
        </w:tabs>
        <w:ind w:hanging="1440" w:end="0"/>
        <w:rPr>
          <w:rFonts w:ascii="Times New Roman" w:hAnsi="Times New Roman" w:cs="Times New Roman"/>
          <w:b/>
          <w:sz w:val="22"/>
        </w:rPr>
      </w:pPr>
      <w:r>
        <w:rPr>
          <w:rFonts w:cs="Times New Roman" w:ascii="Times New Roman" w:hAnsi="Times New Roman"/>
          <w:sz w:val="22"/>
        </w:rPr>
        <w:t>CP99-191</w:t>
        <w:tab/>
      </w:r>
      <w:r>
        <w:rPr>
          <w:rFonts w:cs="Times New Roman" w:ascii="Times New Roman" w:hAnsi="Times New Roman"/>
          <w:b/>
          <w:sz w:val="22"/>
        </w:rPr>
        <w:t>ELK RIVER LOOP/PD2K YR 3</w:t>
      </w:r>
      <w:r>
        <w:rPr>
          <w:rFonts w:cs="Times New Roman" w:ascii="Times New Roman" w:hAnsi="Times New Roman"/>
          <w:sz w:val="22"/>
        </w:rPr>
        <w:t xml:space="preserve"> - Prior notice filing for authorization to install and operate approximately 15 miles of 16 inch loop to meet firm entitlement for Peak Day 2000 shippers Year 3 off the Elk River Branchline.  The prior notice filing was protested and therefore pursuant to the regulations the application was treated as a case-specific filing.  The Order issued September 30, 1999 approved the entire project along Northern’s proposed route pursuant to its blanket certificate. </w:t>
      </w:r>
      <w:r>
        <w:rPr>
          <w:rFonts w:cs="Times New Roman" w:ascii="Times New Roman" w:hAnsi="Times New Roman"/>
          <w:b/>
          <w:sz w:val="22"/>
        </w:rPr>
        <w:t xml:space="preserve"> </w:t>
      </w:r>
      <w:r>
        <w:rPr>
          <w:rFonts w:cs="Times New Roman" w:ascii="Times New Roman" w:hAnsi="Times New Roman"/>
          <w:sz w:val="22"/>
        </w:rPr>
        <w:t>On November 1, 1999, Winslow Holasek filed a timely request for rehearing of the Commission‘s Order approving this project Order Denying Rehearing and Reconsideration and Dismissing Motion to Stay was issued March 24, 2000.  The Phase I facilities were placed in-service on November 29, 1999.  A request for a waiver of the blanket cost limits was filed on June 13, 2000.   FERC responded on July 7 that the request for a waiver was premature unless Northern had information that showed the estimated costs would exceed the blanket cost limits. The Phase II facilities were placed in-service on September 21, 2000.</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pPr>
      <w:r>
        <w:rPr>
          <w:sz w:val="22"/>
        </w:rPr>
        <w:tab/>
        <w:tab/>
      </w:r>
      <w:r>
        <w:rPr>
          <w:b/>
          <w:sz w:val="22"/>
          <w:u w:val="single"/>
        </w:rPr>
        <w:t>REMAINING CONDITIONS</w:t>
      </w:r>
      <w:r>
        <w:rPr>
          <w:b/>
          <w:sz w:val="22"/>
        </w:rPr>
        <w:t xml:space="preserve">: </w:t>
      </w:r>
    </w:p>
    <w:p>
      <w:pPr>
        <w:pStyle w:val="Normal"/>
        <w:numPr>
          <w:ilvl w:val="0"/>
          <w:numId w:val="2"/>
        </w:numPr>
        <w:tabs>
          <w:tab w:val="left" w:pos="-720" w:leader="none"/>
          <w:tab w:val="left" w:pos="0" w:leader="none"/>
          <w:tab w:val="left" w:pos="720" w:leader="none"/>
          <w:tab w:val="left" w:pos="1440" w:leader="none"/>
          <w:tab w:val="left" w:pos="1800" w:leader="none"/>
          <w:tab w:val="left" w:pos="2160" w:leader="none"/>
          <w:tab w:val="left" w:pos="5760" w:leader="none"/>
        </w:tabs>
        <w:ind w:hanging="360" w:start="1800" w:end="0"/>
        <w:jc w:val="both"/>
        <w:rPr>
          <w:b/>
          <w:sz w:val="22"/>
        </w:rPr>
      </w:pPr>
      <w:r>
        <w:rPr>
          <w:b/>
          <w:sz w:val="22"/>
        </w:rPr>
        <w:t>File Actual Construction Costs on or before March 21, 2001</w:t>
      </w:r>
    </w:p>
    <w:p>
      <w:pPr>
        <w:pStyle w:val="BodyTextIndent3"/>
        <w:tabs>
          <w:tab w:val="left" w:pos="-720" w:leader="none"/>
          <w:tab w:val="left" w:pos="0" w:leader="none"/>
          <w:tab w:val="left" w:pos="720" w:leader="none"/>
          <w:tab w:val="left" w:pos="1440" w:leader="none"/>
          <w:tab w:val="left" w:pos="2160" w:leader="none"/>
          <w:tab w:val="left" w:pos="5760" w:leader="none"/>
        </w:tabs>
        <w:rPr>
          <w:rFonts w:ascii="Times New Roman" w:hAnsi="Times New Roman" w:cs="Times New Roman"/>
          <w:sz w:val="22"/>
        </w:rPr>
      </w:pPr>
      <w:r>
        <w:rPr>
          <w:rFonts w:cs="Times New Roman" w:ascii="Times New Roman" w:hAnsi="Times New Roman"/>
          <w:sz w:val="22"/>
        </w:rPr>
        <w:tab/>
        <w:t>Filed:</w:t>
        <w:tab/>
        <w:t>02/02/99</w:t>
      </w:r>
    </w:p>
    <w:p>
      <w:pPr>
        <w:pStyle w:val="BodyTextIndent2"/>
        <w:rPr>
          <w:rFonts w:ascii="Times New Roman" w:hAnsi="Times New Roman" w:cs="Times New Roman"/>
          <w:sz w:val="16"/>
        </w:rPr>
      </w:pPr>
      <w:r>
        <w:rPr>
          <w:rFonts w:cs="Times New Roman" w:ascii="Times New Roman" w:hAnsi="Times New Roman"/>
          <w:b w:val="false"/>
          <w:sz w:val="22"/>
        </w:rPr>
        <w:tab/>
        <w:tab/>
        <w:tab/>
        <w:t>Order Issued:</w:t>
        <w:tab/>
        <w:t>09/30/99</w:t>
      </w:r>
      <w:r>
        <w:rPr>
          <w:rFonts w:cs="Times New Roman" w:ascii="Times New Roman" w:hAnsi="Times New Roman"/>
          <w:b w:val="false"/>
          <w:sz w:val="18"/>
        </w:rPr>
        <w:t xml:space="preserve"> </w:t>
      </w:r>
      <w:r>
        <w:rPr>
          <w:rFonts w:cs="Times New Roman" w:ascii="Times New Roman" w:hAnsi="Times New Roman"/>
          <w:b w:val="false"/>
          <w:sz w:val="16"/>
        </w:rPr>
        <w:t>88 FERC ¶ 61,327 (1999)</w:t>
      </w:r>
    </w:p>
    <w:p>
      <w:pPr>
        <w:pStyle w:val="BodyTextIndent2"/>
        <w:rPr>
          <w:rFonts w:ascii="Times New Roman" w:hAnsi="Times New Roman" w:cs="Times New Roman"/>
          <w:b w:val="false"/>
          <w:sz w:val="22"/>
        </w:rPr>
      </w:pPr>
      <w:r>
        <w:rPr>
          <w:rFonts w:cs="Times New Roman" w:ascii="Times New Roman" w:hAnsi="Times New Roman"/>
          <w:b w:val="false"/>
          <w:sz w:val="22"/>
        </w:rPr>
        <w:tab/>
        <w:tab/>
        <w:tab/>
        <w:t>Certificate Accepted:</w:t>
        <w:tab/>
        <w:t>10/01/99</w:t>
      </w:r>
    </w:p>
    <w:p>
      <w:pPr>
        <w:pStyle w:val="BodyTextIndent2"/>
        <w:rPr/>
      </w:pPr>
      <w:r>
        <w:rPr>
          <w:rFonts w:cs="Times New Roman" w:ascii="Times New Roman" w:hAnsi="Times New Roman"/>
          <w:b w:val="false"/>
          <w:sz w:val="22"/>
        </w:rPr>
        <w:tab/>
        <w:tab/>
        <w:tab/>
        <w:t>Order Denying Rehearing:</w:t>
        <w:tab/>
        <w:t xml:space="preserve">03/24/00 </w:t>
      </w:r>
      <w:r>
        <w:rPr>
          <w:rFonts w:cs="Times New Roman" w:ascii="Times New Roman" w:hAnsi="Times New Roman"/>
          <w:b w:val="false"/>
          <w:sz w:val="16"/>
        </w:rPr>
        <w:t xml:space="preserve"> 90 FERC ¶ 61,296 (2000)</w:t>
      </w:r>
    </w:p>
    <w:p>
      <w:pPr>
        <w:pStyle w:val="BodyTextIndent2"/>
        <w:jc w:val="center"/>
        <w:rPr>
          <w:rFonts w:ascii="Times New Roman" w:hAnsi="Times New Roman" w:cs="Times New Roman"/>
          <w:b w:val="false"/>
          <w:sz w:val="22"/>
        </w:rPr>
      </w:pPr>
      <w:r>
        <w:rPr>
          <w:rFonts w:cs="Times New Roman" w:ascii="Times New Roman" w:hAnsi="Times New Roman"/>
          <w:b w:val="false"/>
          <w:sz w:val="22"/>
        </w:rPr>
        <w:t>Regulatory Contact:  Michele</w:t>
      </w:r>
    </w:p>
    <w:p>
      <w:pPr>
        <w:pStyle w:val="BodyTextIndent2"/>
        <w:jc w:val="center"/>
        <w:rPr>
          <w:rFonts w:ascii="Times New Roman" w:hAnsi="Times New Roman" w:cs="Times New Roman"/>
          <w:b w:val="false"/>
          <w:sz w:val="22"/>
        </w:rPr>
      </w:pPr>
      <w:r>
        <w:rPr>
          <w:rFonts w:cs="Times New Roman" w:ascii="Times New Roman" w:hAnsi="Times New Roman"/>
          <w:b w:val="false"/>
          <w:sz w:val="22"/>
        </w:rPr>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pPr>
      <w:r>
        <w:rPr>
          <w:sz w:val="22"/>
        </w:rPr>
        <w:t>CP99-75</w:t>
        <w:tab/>
      </w:r>
      <w:r>
        <w:rPr>
          <w:b/>
          <w:sz w:val="22"/>
        </w:rPr>
        <w:t>A-LINE ABANDONMENT</w:t>
      </w:r>
      <w:r>
        <w:rPr>
          <w:sz w:val="22"/>
        </w:rPr>
        <w:t xml:space="preserve"> - Section 7 application for permission and approval to abandon: (1) four (4) segments totaling 52 miles of the A-Line in Kansas, Iowa, Nebraska, and Texas; (2) abandon, and relocate in some instances, small volume meter stations; and (3) certain services rendered thereby.  On December 7, 1999 held a meeting with several groups, including Communications and Legal, to discuss/ the Historic Context and assure that no one had a problem with the document.  There are some discrepancies, which will be discussed with the third party historian and resolved prior to issuance of a final document.  On December 22, filed Notice of Abandonment stating that as of December 2, 1999 the final piping was removed from the Texas, Nebraska and Iowa portions of the project.  On March 1, 2000 filed revised Historic Context.  Copies to be sent to the various SHPOs for their comments in order to receive director’s letter.  Also notified FERC pre- and –post construction testing of water wells was completed and showed no problems or inconsistencies.    On May 16, 2000 filed SHPO’s responses to the revised Historical Context and requested a director’s letter.  Notified FERC that minimal activities would occur at the Iowa River this year.  On June 9, 2000 received director’s letter to abandon the Kansas segment and conduct minimal activities at Iowa River.  The historian at the Iowa SHPO has requested additional information to be included in the Historic Context showing the effect pipelines had in Iowa before they will recommend clearance for the abandonment of the Iowa River segment which is currently scheduled to be completed in 2001.   On 7/26/2000 received director’s letter authorizing a 7/13/2000 request: (1)  to abandon 1500 feet of Kansas A-Line in-place per landowner request to preserve shelter belt near his residence and (2) to use fill dirt from offsite sources where the subsoil contains high clay content.  Work stopped on July 31, 2000 while FWL investigated possible siting of whooping crane (endangered species).  The determination was made that it was not a whooping crane.  The FWL was very appreciative and impressed that we called and stopped work.  On 8/18/2000 filed notice that the 2.46 mile pipeline segment at the Iowa River was cut and capped as of 8/16/2000.  Any further activity on this segment is prohibited until clearance is received from the Iowa SHPO regarding their request for an additional 36 page historical context pamphlet.  On 9/11/2000 reported notice that the Kansas segment has been removed as of 9/6/2000.  A third party consultant for FERC conducted a post-construction inspection of the Kansas segment on September 27, 2000.   The audit went well and the inspector said he would give a favorable report to FERC.  FERC is planning to inspect the Nebraska/Iowa segment at the Missouri River Crossing the first part of October.  On October 2, 2000 filed notice that remediation of the Kansas segment was completed effective September 22, 2000.  Post construction audit of Missouri River Crossing went well.  Bids for preparation of the historic pamphlet have been sent out and proposals requested no later than November 8.  Northern anticipates abandonment activities at the Iowa River to commence in August 2001.  Received draft copy of historical pamphlet.  </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pPr>
      <w:r>
        <w:rPr>
          <w:b/>
          <w:sz w:val="22"/>
        </w:rPr>
        <w:t xml:space="preserve"> </w:t>
      </w:r>
      <w:r>
        <w:rPr>
          <w:b/>
          <w:sz w:val="22"/>
        </w:rPr>
        <w:tab/>
        <w:tab/>
      </w:r>
      <w:r>
        <w:rPr>
          <w:b/>
          <w:sz w:val="22"/>
          <w:u w:val="single"/>
        </w:rPr>
        <w:t>REMAINING CONDITIONS</w:t>
      </w:r>
      <w:r>
        <w:rPr>
          <w:b/>
          <w:sz w:val="22"/>
        </w:rPr>
        <w:t>:</w:t>
      </w:r>
    </w:p>
    <w:p>
      <w:pPr>
        <w:pStyle w:val="Normal"/>
        <w:tabs>
          <w:tab w:val="left" w:pos="-720" w:leader="none"/>
          <w:tab w:val="left" w:pos="0" w:leader="none"/>
          <w:tab w:val="left" w:pos="720" w:leader="none"/>
          <w:tab w:val="left" w:pos="1440" w:leader="none"/>
          <w:tab w:val="left" w:pos="2160" w:leader="none"/>
          <w:tab w:val="left" w:pos="5760" w:leader="none"/>
        </w:tabs>
        <w:ind w:start="1440" w:end="0"/>
        <w:rPr>
          <w:b/>
          <w:sz w:val="22"/>
        </w:rPr>
      </w:pPr>
      <w:r>
        <w:rPr>
          <w:b/>
          <w:sz w:val="22"/>
        </w:rPr>
        <w:t>Need Iowa SHPO (historian) clearance and director’s letter from FERC for Ventura, IA segment prior to any construction activities.</w:t>
      </w:r>
    </w:p>
    <w:p>
      <w:pPr>
        <w:pStyle w:val="Normal"/>
        <w:tabs>
          <w:tab w:val="left" w:pos="-720" w:leader="none"/>
          <w:tab w:val="left" w:pos="0" w:leader="none"/>
          <w:tab w:val="left" w:pos="720" w:leader="none"/>
          <w:tab w:val="left" w:pos="1440" w:leader="none"/>
          <w:tab w:val="left" w:pos="2160" w:leader="none"/>
          <w:tab w:val="left" w:pos="5760" w:leader="none"/>
        </w:tabs>
        <w:ind w:hanging="1440" w:start="2880" w:end="0"/>
        <w:rPr/>
      </w:pPr>
      <w:r>
        <w:rPr>
          <w:b/>
          <w:sz w:val="22"/>
        </w:rPr>
        <w:tab/>
      </w:r>
      <w:r>
        <w:rPr>
          <w:sz w:val="22"/>
        </w:rPr>
        <w:t>Filed:</w:t>
        <w:tab/>
        <w:t>11/13/98</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rPr/>
      </w:pPr>
      <w:r>
        <w:rPr>
          <w:sz w:val="22"/>
        </w:rPr>
        <w:tab/>
        <w:tab/>
        <w:tab/>
        <w:t xml:space="preserve">Order Approving Abandonment: </w:t>
        <w:tab/>
        <w:t>06/17/99</w:t>
      </w:r>
      <w:r>
        <w:rPr>
          <w:b/>
          <w:sz w:val="22"/>
        </w:rPr>
        <w:t xml:space="preserve"> </w:t>
      </w:r>
      <w:r>
        <w:rPr>
          <w:sz w:val="16"/>
        </w:rPr>
        <w:t>87 FERC ¶ 62,307 (1999)</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center"/>
        <w:rPr>
          <w:sz w:val="22"/>
        </w:rPr>
      </w:pPr>
      <w:r>
        <w:rPr>
          <w:sz w:val="22"/>
        </w:rPr>
        <w:t>Regulatory Contact:  Donna</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rPr>
          <w:sz w:val="22"/>
        </w:rPr>
      </w:pPr>
      <w:r>
        <w:rPr>
          <w:sz w:val="22"/>
        </w:rPr>
      </w:r>
    </w:p>
    <w:p>
      <w:pPr>
        <w:pStyle w:val="Normal"/>
        <w:tabs>
          <w:tab w:val="left" w:pos="-720" w:leader="none"/>
          <w:tab w:val="left" w:pos="720" w:leader="none"/>
          <w:tab w:val="left" w:pos="1440" w:leader="none"/>
          <w:tab w:val="left" w:pos="2160" w:leader="none"/>
          <w:tab w:val="left" w:pos="5760" w:leader="none"/>
        </w:tabs>
        <w:ind w:hanging="1440" w:start="1440" w:end="0"/>
        <w:jc w:val="both"/>
        <w:rPr>
          <w:sz w:val="22"/>
        </w:rPr>
      </w:pPr>
      <w:r>
        <w:rPr>
          <w:sz w:val="22"/>
        </w:rPr>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sz w:val="22"/>
        </w:rPr>
      </w:pPr>
      <w:r>
        <w:rPr>
          <w:sz w:val="22"/>
        </w:rPr>
        <w:t>CP98-229</w:t>
        <w:tab/>
      </w:r>
      <w:r>
        <w:rPr>
          <w:b/>
          <w:sz w:val="22"/>
        </w:rPr>
        <w:t>KN GATHERING/LIBERAL FACILITIES SALE</w:t>
      </w:r>
      <w:r>
        <w:rPr>
          <w:sz w:val="22"/>
        </w:rPr>
        <w:t xml:space="preserve"> - Section 7(b) application for permission and approval to abandon, by sale to KN Gas Gathering, approximately 33 miles of pipeline with appurtenant facilities located in the Liberal area (Liberal Facilities). An amendment to the December 30, 1997 Asset Purchase Agreement (APA) was executed on January 29, 1999 that extended the term of the agreement. A Second Amendment to the Asset Purchase Agreement was executed January 31, 2000 extending the terms of the agreement until March 31, 2000.  An agreement to assign the original Asset Purchase Agreement, as amended, to OneOk, Inc. was executed April 5, 2000.  OneOk has until July 5, 2000 to notify Northern of its intent to purchase the subject facilities. By letter dated June 26, 2000, ONEOK officially exercised its right to terminate the Asset Purchase Agreement for this transaction.  However, ONEOK also indicated that it planned to make an unsolicited arms length offer to purchase these facilities.  If an offer is not made for these assets, Northern will file to vacate this order.  </w:t>
      </w:r>
      <w:r>
        <w:rPr>
          <w:b/>
          <w:sz w:val="22"/>
        </w:rPr>
        <w:t xml:space="preserve">Motion to Vacate the December 22 order was filed on February 2, 2001; noticed on February 20, 2000; interventions due by March 2, 2001.  </w:t>
      </w:r>
    </w:p>
    <w:p>
      <w:pPr>
        <w:pStyle w:val="Normal"/>
        <w:numPr>
          <w:ilvl w:val="0"/>
          <w:numId w:val="3"/>
        </w:numPr>
        <w:tabs>
          <w:tab w:val="left" w:pos="-720" w:leader="none"/>
          <w:tab w:val="left" w:pos="720" w:leader="none"/>
          <w:tab w:val="left" w:pos="1440" w:leader="none"/>
          <w:tab w:val="left" w:pos="2160" w:leader="none"/>
          <w:tab w:val="left" w:pos="5760" w:leader="none"/>
        </w:tabs>
        <w:jc w:val="both"/>
        <w:rPr>
          <w:sz w:val="22"/>
        </w:rPr>
      </w:pPr>
      <w:r>
        <w:rPr>
          <w:sz w:val="22"/>
        </w:rPr>
      </w:r>
    </w:p>
    <w:p>
      <w:pPr>
        <w:pStyle w:val="Normal"/>
        <w:tabs>
          <w:tab w:val="left" w:pos="-720" w:leader="none"/>
          <w:tab w:val="left" w:pos="720" w:leader="none"/>
          <w:tab w:val="left" w:pos="1440" w:leader="none"/>
          <w:tab w:val="left" w:pos="2160" w:leader="none"/>
          <w:tab w:val="left" w:pos="5760" w:leader="none"/>
        </w:tabs>
        <w:jc w:val="both"/>
        <w:rPr>
          <w:sz w:val="22"/>
        </w:rPr>
      </w:pPr>
      <w:r>
        <w:rPr>
          <w:sz w:val="22"/>
        </w:rPr>
        <w:tab/>
        <w:tab/>
        <w:tab/>
        <w:t>Filed:</w:t>
        <w:tab/>
        <w:tab/>
        <w:t>02/13/98</w:t>
      </w:r>
    </w:p>
    <w:p>
      <w:pPr>
        <w:pStyle w:val="Normal"/>
        <w:tabs>
          <w:tab w:val="left" w:pos="-720" w:leader="none"/>
          <w:tab w:val="left" w:pos="0" w:leader="none"/>
          <w:tab w:val="left" w:pos="720" w:leader="none"/>
          <w:tab w:val="left" w:pos="1440" w:leader="none"/>
          <w:tab w:val="left" w:pos="2160" w:leader="none"/>
          <w:tab w:val="left" w:pos="5760" w:leader="none"/>
        </w:tabs>
        <w:jc w:val="both"/>
        <w:rPr>
          <w:b/>
          <w:sz w:val="16"/>
        </w:rPr>
      </w:pPr>
      <w:r>
        <w:rPr>
          <w:sz w:val="22"/>
        </w:rPr>
        <w:tab/>
        <w:tab/>
        <w:tab/>
        <w:t>Order Approving Abandonment:</w:t>
        <w:tab/>
        <w:tab/>
        <w:t xml:space="preserve">12/22/98 </w:t>
      </w:r>
      <w:r>
        <w:rPr>
          <w:sz w:val="18"/>
        </w:rPr>
        <w:t xml:space="preserve"> </w:t>
      </w:r>
      <w:r>
        <w:rPr>
          <w:sz w:val="16"/>
        </w:rPr>
        <w:t>85 FERC ¶ 61,418 (1998)</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rPr>
          <w:sz w:val="22"/>
        </w:rPr>
      </w:pPr>
      <w:r>
        <w:rPr>
          <w:sz w:val="22"/>
        </w:rPr>
        <w:tab/>
        <w:tab/>
        <w:tab/>
        <w:t>Motion to Vacate filed:</w:t>
        <w:tab/>
        <w:tab/>
        <w:t>02/02/01</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rPr>
          <w:sz w:val="22"/>
        </w:rPr>
      </w:pPr>
      <w:r>
        <w:rPr>
          <w:sz w:val="22"/>
        </w:rPr>
        <w:tab/>
        <w:tab/>
        <w:tab/>
        <w:t>Noticed:</w:t>
        <w:tab/>
        <w:tab/>
        <w:t>02/20/01</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rPr>
          <w:sz w:val="22"/>
        </w:rPr>
      </w:pPr>
      <w:r>
        <w:rPr>
          <w:sz w:val="22"/>
        </w:rPr>
        <w:tab/>
        <w:tab/>
        <w:tab/>
        <w:t>Intervention period ends:</w:t>
        <w:tab/>
        <w:tab/>
        <w:t>03/02/01</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center"/>
        <w:rPr>
          <w:sz w:val="22"/>
        </w:rPr>
      </w:pPr>
      <w:r>
        <w:rPr>
          <w:sz w:val="22"/>
        </w:rPr>
        <w:t>Regulatory Contact:  Michele</w:t>
      </w:r>
    </w:p>
    <w:p>
      <w:pPr>
        <w:pStyle w:val="Normal"/>
        <w:ind w:hanging="1440" w:start="1440" w:end="0"/>
        <w:jc w:val="both"/>
        <w:rPr>
          <w:sz w:val="22"/>
        </w:rPr>
      </w:pPr>
      <w:r>
        <w:rPr>
          <w:sz w:val="22"/>
        </w:rPr>
      </w:r>
    </w:p>
    <w:p>
      <w:pPr>
        <w:pStyle w:val="Normal"/>
        <w:ind w:hanging="1440" w:start="1440" w:end="0"/>
        <w:jc w:val="both"/>
        <w:rPr>
          <w:sz w:val="22"/>
        </w:rPr>
      </w:pPr>
      <w:r>
        <w:rPr>
          <w:sz w:val="22"/>
        </w:rPr>
      </w:r>
    </w:p>
    <w:p>
      <w:pPr>
        <w:pStyle w:val="Normal"/>
        <w:ind w:hanging="1440" w:start="1440" w:end="0"/>
        <w:jc w:val="both"/>
        <w:rPr>
          <w:b/>
          <w:sz w:val="22"/>
        </w:rPr>
      </w:pPr>
      <w:r>
        <w:rPr>
          <w:sz w:val="22"/>
        </w:rPr>
        <w:t>CP98-744</w:t>
        <w:tab/>
      </w:r>
      <w:r>
        <w:rPr>
          <w:b/>
          <w:sz w:val="22"/>
        </w:rPr>
        <w:t>EL PASO/SSL FACILITIES</w:t>
      </w:r>
      <w:r>
        <w:rPr>
          <w:sz w:val="22"/>
        </w:rPr>
        <w:t xml:space="preserve"> - Section 7(b) application for permission and approval to abandon by sale to El Paso Offshore Gathering and Transmission Company certain of Northern’s Seagull Shoreline laterals (T0S-83421, TOS</w:t>
        <w:noBreakHyphen/>
        <w:t>83431, TOS-84071, TOS-84961, TOS-85411).  Protests were filed by Amoco and Anadarko regarding El Paso’s need to provide interruptible service for the life of the reserves comparable to Northern’s service.  Response to Protests filed October 19, 1998.  El Paso filed a Petition for Declaratory Order on February 1, 1999 in Docket No. CP99-188-000.  Northern and El Paso entered into an Amendatory Agreement regarding certain changes to the purchase price adjustment and modifications to the termination provision of the original agreement.  The Amendatory Agreement was filed May 8, 2000.  The order issued October 27</w:t>
      </w:r>
      <w:r>
        <w:rPr>
          <w:sz w:val="22"/>
          <w:vertAlign w:val="superscript"/>
        </w:rPr>
        <w:t>th</w:t>
      </w:r>
      <w:r>
        <w:rPr>
          <w:sz w:val="22"/>
        </w:rPr>
        <w:t xml:space="preserve"> grants permission and approval to abandon the SSL facilities by sale to El Paso, denies Anadarko’s and Amoco’s protests, and declares the subject facilities gathering.  Sale closed effective December 1, 2000.  Notice of abandonment filed on December 7, 2000. </w:t>
      </w:r>
    </w:p>
    <w:p>
      <w:pPr>
        <w:pStyle w:val="Normal"/>
        <w:ind w:hanging="1440" w:start="1440" w:end="0"/>
        <w:jc w:val="both"/>
        <w:rPr/>
      </w:pPr>
      <w:r>
        <w:rPr>
          <w:sz w:val="22"/>
        </w:rPr>
        <w:tab/>
      </w:r>
      <w:r>
        <w:rPr>
          <w:b/>
          <w:sz w:val="22"/>
          <w:u w:val="single"/>
        </w:rPr>
        <w:t>Remaining condition</w:t>
      </w:r>
      <w:r>
        <w:rPr>
          <w:b/>
          <w:sz w:val="22"/>
        </w:rPr>
        <w:t xml:space="preserve">:  </w:t>
      </w:r>
    </w:p>
    <w:p>
      <w:pPr>
        <w:pStyle w:val="Normal"/>
        <w:ind w:hanging="1440" w:start="1440" w:end="0"/>
        <w:jc w:val="both"/>
        <w:rPr>
          <w:b/>
          <w:sz w:val="22"/>
          <w:u w:val="single"/>
        </w:rPr>
      </w:pPr>
      <w:r>
        <w:rPr>
          <w:b/>
          <w:sz w:val="22"/>
        </w:rPr>
        <w:tab/>
        <w:t>Accounting entries due on or before June 6, 2001.</w:t>
      </w:r>
    </w:p>
    <w:p>
      <w:pPr>
        <w:pStyle w:val="Normal"/>
        <w:ind w:hanging="1440" w:start="1440" w:end="0"/>
        <w:jc w:val="both"/>
        <w:rPr>
          <w:sz w:val="22"/>
        </w:rPr>
      </w:pPr>
      <w:r>
        <w:rPr>
          <w:sz w:val="22"/>
        </w:rPr>
        <w:tab/>
        <w:tab/>
        <w:t>Filed:</w:t>
        <w:tab/>
        <w:tab/>
        <w:tab/>
        <w:tab/>
        <w:tab/>
        <w:t>08/25/98</w:t>
      </w:r>
    </w:p>
    <w:p>
      <w:pPr>
        <w:pStyle w:val="Normal"/>
        <w:ind w:hanging="1440" w:start="1440" w:end="0"/>
        <w:jc w:val="both"/>
        <w:rPr/>
      </w:pPr>
      <w:r>
        <w:rPr>
          <w:sz w:val="22"/>
        </w:rPr>
        <w:tab/>
        <w:tab/>
        <w:t>Abandonment Order Issued:</w:t>
        <w:tab/>
        <w:tab/>
        <w:t xml:space="preserve">10/27/00 </w:t>
      </w:r>
      <w:r>
        <w:rPr>
          <w:sz w:val="16"/>
        </w:rPr>
        <w:t>93 FERC ¶ 61,101 (2000)</w:t>
      </w:r>
    </w:p>
    <w:p>
      <w:pPr>
        <w:pStyle w:val="Normal"/>
        <w:ind w:hanging="1440" w:start="1440" w:end="0"/>
        <w:jc w:val="center"/>
        <w:rPr>
          <w:sz w:val="22"/>
        </w:rPr>
      </w:pPr>
      <w:r>
        <w:rPr>
          <w:sz w:val="22"/>
        </w:rPr>
        <w:t>Regulatory Contact:</w:t>
        <w:tab/>
        <w:t>Michele</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rPr>
          <w:sz w:val="22"/>
        </w:rPr>
      </w:pPr>
      <w:r>
        <w:rPr>
          <w:sz w:val="22"/>
        </w:rPr>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sz w:val="22"/>
        </w:rPr>
      </w:pPr>
      <w:r>
        <w:rPr>
          <w:sz w:val="22"/>
        </w:rPr>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pPr>
      <w:r>
        <w:rPr>
          <w:b/>
          <w:sz w:val="22"/>
        </w:rPr>
        <w:t>CP01-03-000</w:t>
        <w:tab/>
        <w:t xml:space="preserve">SUNRAY COMPRESSOR STATION UNIT #9 - </w:t>
      </w:r>
      <w:r>
        <w:rPr>
          <w:sz w:val="22"/>
        </w:rPr>
        <w:t xml:space="preserve">Section 7(b) application for permission to abandon in-place compressor unit #9.  </w:t>
      </w:r>
      <w:r>
        <w:rPr>
          <w:b/>
          <w:sz w:val="22"/>
        </w:rPr>
        <w:t>A notice of abandonment due to FERC within 10-days of abandonment.</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sz w:val="22"/>
        </w:rPr>
      </w:pPr>
      <w:r>
        <w:rPr>
          <w:sz w:val="22"/>
        </w:rPr>
        <w:tab/>
        <w:tab/>
        <w:tab/>
        <w:t>Filed:</w:t>
        <w:tab/>
        <w:t>10/04/00</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pPr>
      <w:r>
        <w:rPr>
          <w:b/>
          <w:sz w:val="22"/>
        </w:rPr>
        <w:tab/>
        <w:tab/>
        <w:tab/>
      </w:r>
      <w:r>
        <w:rPr>
          <w:sz w:val="22"/>
        </w:rPr>
        <w:t>Order Approving Abandonment:</w:t>
        <w:tab/>
        <w:t xml:space="preserve">12/06/00 </w:t>
      </w:r>
      <w:r>
        <w:rPr/>
        <w:t xml:space="preserve"> 93 FERC ¶ 62,174 (2000)</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pPr>
      <w:r>
        <w:rPr>
          <w:sz w:val="16"/>
        </w:rPr>
        <w:tab/>
        <w:tab/>
        <w:tab/>
        <w:t xml:space="preserve">                                       </w:t>
      </w:r>
      <w:r>
        <w:rPr>
          <w:sz w:val="22"/>
        </w:rPr>
        <w:t>Regulatory Analyst:  Vig</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sz w:val="19"/>
        </w:rPr>
      </w:pPr>
      <w:r>
        <w:rPr>
          <w:sz w:val="19"/>
        </w:rPr>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sz w:val="19"/>
        </w:rPr>
      </w:pPr>
      <w:r>
        <w:rPr>
          <w:sz w:val="19"/>
        </w:rPr>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sz w:val="19"/>
        </w:rPr>
      </w:pPr>
      <w:r>
        <w:rPr>
          <w:sz w:val="19"/>
        </w:rPr>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sz w:val="19"/>
        </w:rPr>
      </w:pPr>
      <w:r>
        <w:rPr>
          <w:sz w:val="19"/>
        </w:rPr>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sz w:val="19"/>
        </w:rPr>
      </w:pPr>
      <w:r>
        <w:rPr>
          <w:sz w:val="19"/>
        </w:rPr>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sz w:val="19"/>
        </w:rPr>
      </w:pPr>
      <w:r>
        <w:rPr>
          <w:sz w:val="19"/>
        </w:rPr>
      </w:r>
    </w:p>
    <w:p>
      <w:pPr>
        <w:pStyle w:val="Heading1"/>
        <w:pBdr>
          <w:top w:val="single" w:sz="12" w:space="1" w:color="000000" w:shadow="1"/>
          <w:left w:val="single" w:sz="12" w:space="1" w:color="000000" w:shadow="1"/>
          <w:bottom w:val="single" w:sz="12" w:space="1" w:color="000000" w:shadow="1"/>
          <w:right w:val="single" w:sz="12" w:space="1" w:color="000000" w:shadow="1"/>
        </w:pBdr>
        <w:ind w:hanging="0" w:start="0"/>
        <w:rPr>
          <w:sz w:val="25"/>
        </w:rPr>
      </w:pPr>
      <w:r>
        <w:rPr>
          <w:sz w:val="25"/>
        </w:rPr>
        <w:tab/>
      </w:r>
      <w:r>
        <w:rPr/>
        <w:t>CERTIFICATES PENDING FERC APPROVAL</w:t>
      </w:r>
      <w:r>
        <w:fldChar w:fldCharType="begin"/>
      </w:r>
      <w:r>
        <w:rPr/>
        <w:instrText xml:space="preserve"> XE "CERTIFICATES PENDING FERC APPROVAL" </w:instrText>
      </w:r>
      <w:r>
        <w:rPr/>
        <w:fldChar w:fldCharType="separate"/>
      </w:r>
      <w:r>
        <w:rPr/>
      </w:r>
      <w:r>
        <w:rPr/>
        <w:fldChar w:fldCharType="end"/>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rPr>
          <w:b/>
          <w:sz w:val="25"/>
          <w:u w:val="single"/>
        </w:rPr>
      </w:pPr>
      <w:r>
        <w:rPr>
          <w:b/>
          <w:sz w:val="25"/>
          <w:u w:val="single"/>
        </w:rPr>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rPr>
          <w:b/>
          <w:u w:val="single"/>
        </w:rPr>
      </w:pPr>
      <w:r>
        <w:rPr>
          <w:b/>
          <w:u w:val="single"/>
        </w:rPr>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center"/>
        <w:rPr>
          <w:b/>
          <w:sz w:val="22"/>
          <w:u w:val="single"/>
        </w:rPr>
      </w:pPr>
      <w:r>
        <w:rPr>
          <w:b/>
          <w:sz w:val="22"/>
          <w:u w:val="single"/>
        </w:rPr>
        <w:t>TRANSWESTERN PIPELINE COMPANY</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b/>
          <w:sz w:val="22"/>
          <w:u w:val="single"/>
        </w:rPr>
      </w:pPr>
      <w:r>
        <w:rPr>
          <w:b/>
          <w:sz w:val="22"/>
          <w:u w:val="single"/>
        </w:rPr>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sz w:val="19"/>
        </w:rPr>
      </w:pPr>
      <w:r>
        <w:rPr>
          <w:sz w:val="19"/>
        </w:rPr>
      </w:r>
    </w:p>
    <w:p>
      <w:pPr>
        <w:pStyle w:val="Heading8"/>
        <w:tabs>
          <w:tab w:val="clear" w:pos="0"/>
          <w:tab w:val="left" w:pos="-720" w:leader="none"/>
          <w:tab w:val="left" w:pos="720" w:leader="none"/>
          <w:tab w:val="left" w:pos="1440" w:leader="none"/>
          <w:tab w:val="left" w:pos="2160" w:leader="none"/>
          <w:tab w:val="left" w:pos="5760" w:leader="none"/>
        </w:tabs>
        <w:rPr/>
      </w:pPr>
      <w:r>
        <w:rPr/>
        <w:t>NONE</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sz w:val="19"/>
        </w:rPr>
      </w:pPr>
      <w:r>
        <w:rPr>
          <w:sz w:val="19"/>
        </w:rPr>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b/>
          <w:sz w:val="19"/>
        </w:rPr>
      </w:pPr>
      <w:r>
        <w:rPr>
          <w:b/>
          <w:sz w:val="19"/>
        </w:rPr>
      </w:r>
    </w:p>
    <w:p>
      <w:pPr>
        <w:pStyle w:val="Heading9"/>
        <w:ind w:hanging="0" w:start="0"/>
        <w:rPr>
          <w:rFonts w:ascii="Times New Roman" w:hAnsi="Times New Roman" w:cs="Times New Roman"/>
          <w:sz w:val="22"/>
        </w:rPr>
      </w:pPr>
      <w:r>
        <w:rPr>
          <w:rFonts w:cs="Times New Roman" w:ascii="Times New Roman" w:hAnsi="Times New Roman"/>
          <w:sz w:val="22"/>
        </w:rPr>
        <w:t>NORTHERN NATURAL GAS COMPANY</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rFonts w:ascii="Times New Roman" w:hAnsi="Times New Roman" w:cs="Times New Roman"/>
          <w:b/>
          <w:sz w:val="22"/>
        </w:rPr>
      </w:pPr>
      <w:r>
        <w:rPr>
          <w:rFonts w:cs="Times New Roman"/>
          <w:b/>
          <w:sz w:val="22"/>
        </w:rPr>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b/>
          <w:sz w:val="22"/>
        </w:rPr>
      </w:pPr>
      <w:r>
        <w:rPr>
          <w:b/>
          <w:sz w:val="22"/>
        </w:rPr>
        <w:t>CP00-406</w:t>
        <w:tab/>
        <w:t xml:space="preserve">X-12 RATE SCHEDULE ABANDONMENT- </w:t>
      </w:r>
      <w:r>
        <w:rPr>
          <w:sz w:val="22"/>
        </w:rPr>
        <w:t xml:space="preserve">Section 7(b) application for permission and approval to abandon service to Southern Union under the X-12 Rate Schedule contained in Northern's Original Volume No. 2 FERC Gas Tariff.  </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sz w:val="22"/>
        </w:rPr>
      </w:pPr>
      <w:r>
        <w:rPr>
          <w:sz w:val="22"/>
        </w:rPr>
        <w:tab/>
        <w:tab/>
        <w:tab/>
        <w:t>Filed:</w:t>
        <w:tab/>
        <w:t>07/17/00</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sz w:val="22"/>
        </w:rPr>
      </w:pPr>
      <w:r>
        <w:rPr>
          <w:sz w:val="22"/>
        </w:rPr>
        <w:tab/>
        <w:tab/>
        <w:tab/>
        <w:t>Noticed:</w:t>
        <w:tab/>
        <w:t>09/14/00</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sz w:val="16"/>
        </w:rPr>
      </w:pPr>
      <w:r>
        <w:rPr>
          <w:b/>
          <w:sz w:val="22"/>
        </w:rPr>
        <w:tab/>
        <w:tab/>
        <w:tab/>
      </w:r>
      <w:r>
        <w:rPr>
          <w:sz w:val="22"/>
        </w:rPr>
        <w:t>Order Approving Abandonment:</w:t>
        <w:tab/>
        <w:t>Pending</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pPr>
      <w:r>
        <w:rPr>
          <w:sz w:val="16"/>
        </w:rPr>
        <w:tab/>
        <w:tab/>
        <w:tab/>
        <w:t xml:space="preserve">                                       </w:t>
      </w:r>
      <w:r>
        <w:rPr>
          <w:sz w:val="22"/>
        </w:rPr>
        <w:t>Regulatory Analyst:  Bret</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sz w:val="22"/>
        </w:rPr>
      </w:pPr>
      <w:r>
        <w:rPr>
          <w:sz w:val="22"/>
        </w:rPr>
      </w:r>
    </w:p>
    <w:p>
      <w:pPr>
        <w:pStyle w:val="BodyTextIndent2"/>
        <w:rPr>
          <w:rFonts w:ascii="Times New Roman" w:hAnsi="Times New Roman" w:cs="Times New Roman"/>
          <w:b w:val="false"/>
          <w:sz w:val="22"/>
        </w:rPr>
      </w:pPr>
      <w:r>
        <w:rPr>
          <w:rFonts w:cs="Times New Roman" w:ascii="Times New Roman" w:hAnsi="Times New Roman"/>
          <w:b w:val="false"/>
          <w:sz w:val="22"/>
        </w:rPr>
      </w:r>
    </w:p>
    <w:p>
      <w:pPr>
        <w:pStyle w:val="Normal"/>
        <w:ind w:hanging="1440" w:start="1440" w:end="0"/>
        <w:jc w:val="both"/>
        <w:rPr/>
      </w:pPr>
      <w:r>
        <w:rPr>
          <w:b/>
          <w:sz w:val="22"/>
        </w:rPr>
        <w:t>CP01-33</w:t>
        <w:tab/>
        <w:t>PLATTE RIVER A-LINE ABANDONMENT</w:t>
      </w:r>
      <w:r>
        <w:rPr>
          <w:sz w:val="22"/>
        </w:rPr>
        <w:t xml:space="preserve"> – Section 7 (b) application to abandon by removal approximately 2,200 feet of the A-Line at the Platte River crossing in Dodge and Saunders Counties, Nebraska.  Removal will also include the pipeline suspension bridge supporting the pipeline across the river and a previously abandoned parallel pipeline, B-Line, which also sits on the bridge.  Service will be continued via a replacement B-Line constructed in 2000 at a location under the river instead of across it.</w:t>
      </w:r>
    </w:p>
    <w:p>
      <w:pPr>
        <w:pStyle w:val="Normal"/>
        <w:ind w:hanging="1440" w:start="1440" w:end="0"/>
        <w:jc w:val="both"/>
        <w:rPr/>
      </w:pPr>
      <w:r>
        <w:rPr>
          <w:b/>
          <w:sz w:val="22"/>
        </w:rPr>
        <w:tab/>
      </w:r>
      <w:r>
        <w:rPr>
          <w:sz w:val="22"/>
        </w:rPr>
        <w:t>January 4, 2001</w:t>
      </w:r>
      <w:r>
        <w:rPr>
          <w:b/>
          <w:sz w:val="22"/>
        </w:rPr>
        <w:t xml:space="preserve"> </w:t>
      </w:r>
      <w:r>
        <w:rPr>
          <w:sz w:val="22"/>
        </w:rPr>
        <w:t xml:space="preserve">– As of this date, several informal data requests have been received and a response to each is being prepared.  Commission Certificate Staff  is seeking more detail on the B-Line replacement while Environmental Staff has requested additional information on  activity in the river itself, including the submittal of a site-specific plan, as well as further justification for the proposed method of abandonment and alternatives considered.  We have also just received oral notice that the Nebraska State Historical Society has determined that the bridge is </w:t>
      </w:r>
      <w:r>
        <w:rPr>
          <w:color w:val="000000"/>
          <w:sz w:val="22"/>
        </w:rPr>
        <w:t xml:space="preserve">eligible for the National Historic Registry.  This </w:t>
      </w:r>
      <w:r>
        <w:rPr>
          <w:sz w:val="22"/>
        </w:rPr>
        <w:t>will require additional time and expense by Northern to prepare, distribute and archive the facility history if we continue to seek abandonment.</w:t>
      </w:r>
    </w:p>
    <w:p>
      <w:pPr>
        <w:pStyle w:val="Normal"/>
        <w:ind w:hanging="1440" w:start="1440" w:end="0"/>
        <w:jc w:val="both"/>
        <w:rPr>
          <w:sz w:val="22"/>
        </w:rPr>
      </w:pPr>
      <w:r>
        <w:rPr>
          <w:sz w:val="22"/>
        </w:rPr>
        <w:tab/>
        <w:t>February 6, 2001 – Filed written responses to FERC data requests cited above.</w:t>
      </w:r>
    </w:p>
    <w:p>
      <w:pPr>
        <w:pStyle w:val="Normal"/>
        <w:ind w:hanging="1440" w:start="1440" w:end="0"/>
        <w:jc w:val="both"/>
        <w:rPr>
          <w:sz w:val="22"/>
        </w:rPr>
      </w:pPr>
      <w:r>
        <w:rPr>
          <w:sz w:val="22"/>
        </w:rPr>
        <w:tab/>
        <w:t>February 9, 2001 – Received a 7-question formal data request from FERC Environmental dealing generally with the bridge removal proposed and alternative techniques and copies of existing (and continuing) correspondence with SHPO relative Historic review process.  Response, due to FERC by March 1, filed on time.</w:t>
      </w:r>
    </w:p>
    <w:p>
      <w:pPr>
        <w:pStyle w:val="Normal"/>
        <w:ind w:hanging="1440" w:start="1440" w:end="0"/>
        <w:jc w:val="both"/>
        <w:rPr>
          <w:sz w:val="22"/>
        </w:rPr>
      </w:pPr>
      <w:r>
        <w:rPr>
          <w:sz w:val="22"/>
        </w:rPr>
        <w:tab/>
        <w:t xml:space="preserve">February 22, 2001 – Several team members met with SHPO in Lincoln to discuss SHPO designation including Northern compliance.  SHPO office to issue compliance requirements “shortly.”  SHPO indicated that they would like to have the entire process completed by August.    </w:t>
      </w:r>
    </w:p>
    <w:p>
      <w:pPr>
        <w:pStyle w:val="Normal"/>
        <w:ind w:hanging="1440" w:start="1440" w:end="0"/>
        <w:jc w:val="both"/>
        <w:rPr/>
      </w:pPr>
      <w:r>
        <w:rPr>
          <w:b/>
          <w:sz w:val="22"/>
        </w:rPr>
        <w:tab/>
        <w:tab/>
      </w:r>
      <w:r>
        <w:rPr>
          <w:sz w:val="22"/>
        </w:rPr>
        <w:t>Filed:</w:t>
        <w:tab/>
        <w:tab/>
        <w:tab/>
        <w:tab/>
        <w:tab/>
        <w:t>11/20/00</w:t>
      </w:r>
    </w:p>
    <w:p>
      <w:pPr>
        <w:pStyle w:val="Normal"/>
        <w:ind w:hanging="1440" w:start="1440" w:end="0"/>
        <w:jc w:val="both"/>
        <w:rPr>
          <w:sz w:val="22"/>
        </w:rPr>
      </w:pPr>
      <w:r>
        <w:rPr>
          <w:sz w:val="22"/>
        </w:rPr>
        <w:tab/>
        <w:tab/>
        <w:t>Noticed:</w:t>
        <w:tab/>
        <w:tab/>
        <w:tab/>
        <w:tab/>
        <w:t>11/30/00</w:t>
      </w:r>
    </w:p>
    <w:p>
      <w:pPr>
        <w:pStyle w:val="Normal"/>
        <w:ind w:hanging="1440" w:start="1440" w:end="0"/>
        <w:jc w:val="both"/>
        <w:rPr>
          <w:sz w:val="22"/>
        </w:rPr>
      </w:pPr>
      <w:r>
        <w:rPr>
          <w:sz w:val="22"/>
        </w:rPr>
        <w:tab/>
        <w:tab/>
        <w:t>Intervention Period Ends</w:t>
        <w:tab/>
        <w:tab/>
        <w:t>12/21/00</w:t>
      </w:r>
    </w:p>
    <w:p>
      <w:pPr>
        <w:pStyle w:val="Normal"/>
        <w:ind w:hanging="1440" w:start="1440" w:end="0"/>
        <w:jc w:val="both"/>
        <w:rPr>
          <w:sz w:val="22"/>
        </w:rPr>
      </w:pPr>
      <w:r>
        <w:rPr>
          <w:sz w:val="22"/>
        </w:rPr>
        <w:tab/>
        <w:tab/>
        <w:t>Regulatory Analyst:</w:t>
        <w:tab/>
        <w:tab/>
        <w:tab/>
        <w:t xml:space="preserve">       Vig</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rPr>
          <w:sz w:val="22"/>
        </w:rPr>
      </w:pPr>
      <w:r>
        <w:rPr>
          <w:sz w:val="22"/>
        </w:rPr>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center"/>
        <w:rPr>
          <w:b/>
          <w:sz w:val="22"/>
        </w:rPr>
      </w:pPr>
      <w:r>
        <w:rPr>
          <w:b/>
          <w:sz w:val="22"/>
        </w:rPr>
      </w:r>
    </w:p>
    <w:p>
      <w:pPr>
        <w:pStyle w:val="Heading1"/>
        <w:pBdr>
          <w:top w:val="single" w:sz="12" w:space="1" w:color="000000" w:shadow="1"/>
          <w:left w:val="single" w:sz="12" w:space="1" w:color="000000" w:shadow="1"/>
          <w:bottom w:val="single" w:sz="12" w:space="1" w:color="000000" w:shadow="1"/>
          <w:right w:val="single" w:sz="12" w:space="1" w:color="000000" w:shadow="1"/>
        </w:pBdr>
        <w:ind w:hanging="0" w:start="0"/>
        <w:rPr/>
      </w:pPr>
      <w:r>
        <w:rPr/>
        <w:tab/>
        <w:t>PROJECTS TO BE FILED</w:t>
      </w:r>
      <w:r>
        <w:fldChar w:fldCharType="begin"/>
      </w:r>
      <w:r>
        <w:rPr/>
        <w:instrText xml:space="preserve"> XE "PROJECTS TO BE FILED" </w:instrText>
      </w:r>
      <w:r>
        <w:rPr/>
        <w:fldChar w:fldCharType="separate"/>
      </w:r>
      <w:r>
        <w:rPr/>
      </w:r>
      <w:r>
        <w:rPr/>
        <w:fldChar w:fldCharType="end"/>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rPr>
          <w:b/>
          <w:sz w:val="25"/>
        </w:rPr>
      </w:pPr>
      <w:r>
        <w:rPr>
          <w:b/>
          <w:sz w:val="25"/>
        </w:rPr>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center"/>
        <w:rPr>
          <w:b/>
          <w:u w:val="single"/>
        </w:rPr>
      </w:pPr>
      <w:r>
        <w:rPr>
          <w:b/>
          <w:u w:val="single"/>
        </w:rPr>
        <w:t>TRANSWESTERN PIPELINE COMPANY</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center"/>
        <w:rPr>
          <w:b/>
          <w:u w:val="single"/>
        </w:rPr>
      </w:pPr>
      <w:r>
        <w:rPr>
          <w:b/>
          <w:u w:val="single"/>
        </w:rPr>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b/>
          <w:sz w:val="22"/>
          <w:u w:val="single"/>
        </w:rPr>
      </w:pPr>
      <w:r>
        <w:rPr>
          <w:b/>
          <w:sz w:val="22"/>
          <w:u w:val="single"/>
        </w:rPr>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sz w:val="22"/>
        </w:rPr>
      </w:pPr>
      <w:r>
        <w:rPr>
          <w:sz w:val="22"/>
        </w:rPr>
        <w:t>DONNA</w:t>
      </w:r>
      <w:r>
        <w:rPr/>
        <w:tab/>
      </w:r>
      <w:r>
        <w:rPr>
          <w:b/>
          <w:bCs/>
          <w:sz w:val="22"/>
        </w:rPr>
        <w:t>TW Red Rock Mainline Expansion - Section 7(c)/7(b) application to replace the existing units at Stations 1 through 4 with a new 38,000 HP (ISO rated) unit at each station.  The existing units will be abandoned in place.  The additional horsepower will allow an incremental 150,000 Mcf/day from Thoreau to the California border.  Application in progress.</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sz w:val="22"/>
        </w:rPr>
      </w:pPr>
      <w:r>
        <w:rPr>
          <w:sz w:val="22"/>
        </w:rPr>
      </w:r>
    </w:p>
    <w:p>
      <w:pPr>
        <w:pStyle w:val="Normal"/>
        <w:tabs>
          <w:tab w:val="left" w:pos="-720" w:leader="none"/>
          <w:tab w:val="left" w:pos="0" w:leader="none"/>
          <w:tab w:val="left" w:pos="720" w:leader="none"/>
          <w:tab w:val="left" w:pos="1440" w:leader="none"/>
          <w:tab w:val="left" w:pos="2160" w:leader="none"/>
          <w:tab w:val="left" w:pos="5760" w:leader="none"/>
        </w:tabs>
        <w:jc w:val="center"/>
        <w:rPr>
          <w:b/>
          <w:u w:val="single"/>
        </w:rPr>
      </w:pPr>
      <w:r>
        <w:rPr>
          <w:b/>
          <w:u w:val="single"/>
        </w:rPr>
        <w:t>NORTHERN NATURAL GAS COMPANY</w:t>
      </w:r>
    </w:p>
    <w:p>
      <w:pPr>
        <w:pStyle w:val="Normal"/>
        <w:tabs>
          <w:tab w:val="left" w:pos="-720" w:leader="none"/>
          <w:tab w:val="left" w:pos="0" w:leader="none"/>
          <w:tab w:val="left" w:pos="720" w:leader="none"/>
          <w:tab w:val="left" w:pos="1440" w:leader="none"/>
          <w:tab w:val="left" w:pos="2160" w:leader="none"/>
          <w:tab w:val="left" w:pos="5760" w:leader="none"/>
        </w:tabs>
        <w:ind w:hanging="1440" w:start="1440" w:end="0"/>
        <w:jc w:val="both"/>
        <w:rPr>
          <w:b/>
          <w:sz w:val="22"/>
          <w:u w:val="single"/>
        </w:rPr>
      </w:pPr>
      <w:r>
        <w:rPr>
          <w:b/>
          <w:sz w:val="22"/>
          <w:u w:val="single"/>
        </w:rPr>
      </w:r>
    </w:p>
    <w:p>
      <w:pPr>
        <w:pStyle w:val="BodyTextIndent2"/>
        <w:rPr>
          <w:rFonts w:ascii="Times New Roman" w:hAnsi="Times New Roman" w:cs="Times New Roman"/>
          <w:b w:val="false"/>
          <w:sz w:val="22"/>
        </w:rPr>
      </w:pPr>
      <w:r>
        <w:rPr>
          <w:rFonts w:cs="Times New Roman" w:ascii="Times New Roman" w:hAnsi="Times New Roman"/>
          <w:b w:val="false"/>
          <w:sz w:val="22"/>
        </w:rPr>
      </w:r>
    </w:p>
    <w:p>
      <w:pPr>
        <w:pStyle w:val="BodyTextIndent2"/>
        <w:rPr/>
      </w:pPr>
      <w:r>
        <w:rPr>
          <w:rFonts w:cs="Times New Roman" w:ascii="Times New Roman" w:hAnsi="Times New Roman"/>
          <w:b w:val="false"/>
          <w:sz w:val="22"/>
        </w:rPr>
        <w:t>MICHELE</w:t>
        <w:tab/>
      </w:r>
      <w:r>
        <w:rPr>
          <w:rFonts w:cs="Times New Roman" w:ascii="Times New Roman" w:hAnsi="Times New Roman"/>
          <w:bCs/>
          <w:sz w:val="22"/>
        </w:rPr>
        <w:t>CUNNINGHAM WELLS – Section 7(c) filing to install and operate two (2) new horizontal wells and pipeline to connect the wells to existing gathering system in order to improve overall storage operations.  The application is in process.</w:t>
      </w:r>
    </w:p>
    <w:p>
      <w:pPr>
        <w:pStyle w:val="BodyTextIndent2"/>
        <w:rPr>
          <w:rFonts w:ascii="Times New Roman" w:hAnsi="Times New Roman" w:cs="Times New Roman"/>
          <w:b w:val="false"/>
          <w:bCs/>
          <w:sz w:val="22"/>
        </w:rPr>
      </w:pPr>
      <w:r>
        <w:rPr>
          <w:rFonts w:cs="Times New Roman" w:ascii="Times New Roman" w:hAnsi="Times New Roman"/>
          <w:b w:val="false"/>
          <w:bCs/>
          <w:sz w:val="22"/>
        </w:rPr>
      </w:r>
    </w:p>
    <w:p>
      <w:pPr>
        <w:pStyle w:val="BodyTextIndent2"/>
        <w:rPr>
          <w:rFonts w:ascii="Times New Roman" w:hAnsi="Times New Roman" w:cs="Times New Roman"/>
          <w:b w:val="false"/>
          <w:sz w:val="22"/>
        </w:rPr>
      </w:pPr>
      <w:r>
        <w:rPr>
          <w:rFonts w:cs="Times New Roman" w:ascii="Times New Roman" w:hAnsi="Times New Roman"/>
          <w:b w:val="false"/>
          <w:sz w:val="22"/>
        </w:rPr>
      </w:r>
    </w:p>
    <w:p>
      <w:pPr>
        <w:pStyle w:val="BodyTextIndent2"/>
        <w:rPr/>
      </w:pPr>
      <w:r>
        <w:rPr>
          <w:rFonts w:cs="Times New Roman" w:ascii="Times New Roman" w:hAnsi="Times New Roman"/>
          <w:b w:val="false"/>
          <w:sz w:val="22"/>
        </w:rPr>
        <w:t>VIG</w:t>
        <w:tab/>
        <w:tab/>
      </w:r>
      <w:r>
        <w:rPr>
          <w:rFonts w:cs="Times New Roman" w:ascii="Times New Roman" w:hAnsi="Times New Roman"/>
          <w:sz w:val="22"/>
        </w:rPr>
        <w:t>OMAHA MUD BRANCHLINE AND TBS #1E SALE</w:t>
      </w:r>
      <w:r>
        <w:rPr>
          <w:rFonts w:cs="Times New Roman" w:ascii="Times New Roman" w:hAnsi="Times New Roman"/>
          <w:b w:val="false"/>
          <w:sz w:val="22"/>
        </w:rPr>
        <w:t xml:space="preserve"> – Section 7(b) filing to abandon by sale to MUD approximately 5 miles of the 16” Omaha BL #2 and the Omaha #1E TBS on the BL.  Draft routing completed and changes incorporated. The filing is currently on hold pending finalization of the Sale Agreement and the analysis of alternative business/operation strategies involving an enlarged piece of the branchline and related facilities.</w:t>
      </w:r>
    </w:p>
    <w:p>
      <w:pPr>
        <w:pStyle w:val="BodyTextIndent2"/>
        <w:rPr>
          <w:rFonts w:ascii="Times New Roman" w:hAnsi="Times New Roman" w:cs="Times New Roman"/>
          <w:b w:val="false"/>
          <w:sz w:val="22"/>
        </w:rPr>
      </w:pPr>
      <w:r>
        <w:rPr>
          <w:rFonts w:cs="Times New Roman" w:ascii="Times New Roman" w:hAnsi="Times New Roman"/>
          <w:b w:val="false"/>
          <w:sz w:val="22"/>
        </w:rPr>
      </w:r>
    </w:p>
    <w:p>
      <w:pPr>
        <w:pStyle w:val="BodyTextIndent2"/>
        <w:rPr>
          <w:rFonts w:ascii="Times New Roman" w:hAnsi="Times New Roman" w:cs="Times New Roman"/>
          <w:sz w:val="22"/>
        </w:rPr>
      </w:pPr>
      <w:r>
        <w:rPr>
          <w:rFonts w:cs="Times New Roman" w:ascii="Times New Roman" w:hAnsi="Times New Roman"/>
          <w:b w:val="false"/>
          <w:sz w:val="22"/>
        </w:rPr>
        <w:t>MICHELE</w:t>
      </w:r>
      <w:r>
        <w:rPr>
          <w:rFonts w:cs="Times New Roman" w:ascii="Times New Roman" w:hAnsi="Times New Roman"/>
          <w:sz w:val="22"/>
        </w:rPr>
        <w:tab/>
        <w:t>MOPS COMPRESSOR ABANDONMENT –</w:t>
      </w:r>
      <w:r>
        <w:rPr>
          <w:rFonts w:cs="Times New Roman" w:ascii="Times New Roman" w:hAnsi="Times New Roman"/>
          <w:b w:val="false"/>
          <w:sz w:val="22"/>
        </w:rPr>
        <w:t xml:space="preserve"> Prior notice filing to abandon the compression located on the platform in Matagorda Island 686.  Northern proposes to abandon the units and appurtenant gas facilities by removal and donate the platform and non-gas facilities to the University of Texas A&amp;M-Corpus Christi.  Application is in progress.</w:t>
      </w:r>
    </w:p>
    <w:p>
      <w:pPr>
        <w:pStyle w:val="BodyTextIndent2"/>
        <w:rPr>
          <w:rFonts w:ascii="Times New Roman" w:hAnsi="Times New Roman" w:cs="Times New Roman"/>
          <w:b w:val="false"/>
          <w:sz w:val="22"/>
        </w:rPr>
      </w:pPr>
      <w:r>
        <w:rPr>
          <w:rFonts w:cs="Times New Roman" w:ascii="Times New Roman" w:hAnsi="Times New Roman"/>
          <w:b w:val="false"/>
          <w:sz w:val="22"/>
        </w:rPr>
      </w:r>
    </w:p>
    <w:p>
      <w:pPr>
        <w:pStyle w:val="BodyTextIndent2"/>
        <w:rPr>
          <w:rFonts w:ascii="Times New Roman" w:hAnsi="Times New Roman" w:cs="Times New Roman"/>
          <w:b w:val="false"/>
          <w:sz w:val="22"/>
        </w:rPr>
      </w:pPr>
      <w:r>
        <w:rPr>
          <w:rFonts w:cs="Times New Roman" w:ascii="Times New Roman" w:hAnsi="Times New Roman"/>
          <w:b w:val="false"/>
          <w:sz w:val="22"/>
        </w:rPr>
      </w:r>
    </w:p>
    <w:p>
      <w:pPr>
        <w:pStyle w:val="BodyTextIndent2"/>
        <w:rPr/>
      </w:pPr>
      <w:r>
        <w:rPr>
          <w:rFonts w:cs="Times New Roman" w:ascii="Times New Roman" w:hAnsi="Times New Roman"/>
          <w:b w:val="false"/>
          <w:sz w:val="22"/>
        </w:rPr>
        <w:t>MICHELE</w:t>
        <w:tab/>
      </w:r>
      <w:r>
        <w:rPr>
          <w:rFonts w:cs="Times New Roman" w:ascii="Times New Roman" w:hAnsi="Times New Roman"/>
          <w:sz w:val="22"/>
        </w:rPr>
        <w:t>SKELLYTOWN ABANDONMENT</w:t>
      </w:r>
      <w:r>
        <w:rPr>
          <w:rFonts w:cs="Times New Roman" w:ascii="Times New Roman" w:hAnsi="Times New Roman"/>
          <w:b w:val="false"/>
          <w:sz w:val="22"/>
        </w:rPr>
        <w:t xml:space="preserve"> - Section 7(b) filing to abandon certain facilities near Skellytown.  Facilities include the Bobbitt, Haiduk, and McConnell compressor stations and downstream pipelines (approximately 10 miles of pipe).  These facilities are currently only providing service to farm tap users due a to failure of the pipeline in February 2000.  Also, included are the Burnett compressor station and downstream pipe.  Due to easement requirements, Northern currently proposes to sell the pipelines and remove the compressor stations.  Marketing is working with parties regarding the possible sale of the pipelines.  If negotiations are not completed for the sale, the pipelines will be removed.  In order to mitigate the financial impact, Northern will request a 5-year removal schedule for this abandonment.   Application is in progress.</w:t>
      </w:r>
    </w:p>
    <w:p>
      <w:pPr>
        <w:pStyle w:val="BodyTextIndent2"/>
        <w:rPr>
          <w:rFonts w:ascii="Times New Roman" w:hAnsi="Times New Roman" w:cs="Times New Roman"/>
          <w:b w:val="false"/>
          <w:sz w:val="22"/>
        </w:rPr>
      </w:pPr>
      <w:r>
        <w:rPr>
          <w:rFonts w:cs="Times New Roman" w:ascii="Times New Roman" w:hAnsi="Times New Roman"/>
          <w:b w:val="false"/>
          <w:sz w:val="22"/>
        </w:rPr>
      </w:r>
    </w:p>
    <w:p>
      <w:pPr>
        <w:pStyle w:val="Normal"/>
        <w:rPr>
          <w:rFonts w:ascii="Times New Roman" w:hAnsi="Times New Roman" w:cs="Times New Roman"/>
          <w:b/>
          <w:sz w:val="22"/>
        </w:rPr>
      </w:pPr>
      <w:r>
        <w:rPr>
          <w:rFonts w:cs="Times New Roman"/>
          <w:b/>
          <w:sz w:val="22"/>
        </w:rPr>
      </w:r>
    </w:p>
    <w:p>
      <w:pPr>
        <w:pStyle w:val="Normal"/>
        <w:ind w:hanging="1440" w:start="1440" w:end="0"/>
        <w:rPr/>
      </w:pPr>
      <w:r>
        <w:rPr>
          <w:sz w:val="22"/>
        </w:rPr>
        <w:t>BRET</w:t>
        <w:tab/>
      </w:r>
      <w:r>
        <w:rPr>
          <w:b/>
          <w:sz w:val="22"/>
        </w:rPr>
        <w:t xml:space="preserve">MULLINVILLE UNITS #1-5 ABANDONMENT - </w:t>
      </w:r>
      <w:r>
        <w:rPr>
          <w:sz w:val="22"/>
        </w:rPr>
        <w:t>Section 7(b) filing to abandon, in place, compressor units #1-5 at Mullinville.  Application is in progress.</w:t>
      </w:r>
    </w:p>
    <w:p>
      <w:pPr>
        <w:pStyle w:val="Normal"/>
        <w:ind w:hanging="1440" w:start="1440" w:end="0"/>
        <w:rPr>
          <w:sz w:val="22"/>
        </w:rPr>
      </w:pPr>
      <w:r>
        <w:rPr>
          <w:sz w:val="22"/>
        </w:rPr>
      </w:r>
    </w:p>
    <w:p>
      <w:pPr>
        <w:pStyle w:val="Normal"/>
        <w:ind w:hanging="1440" w:start="1440" w:end="0"/>
        <w:rPr>
          <w:sz w:val="22"/>
        </w:rPr>
      </w:pPr>
      <w:r>
        <w:rPr>
          <w:sz w:val="22"/>
        </w:rPr>
      </w:r>
    </w:p>
    <w:p>
      <w:pPr>
        <w:pStyle w:val="Normal"/>
        <w:ind w:hanging="1440" w:start="1440" w:end="0"/>
        <w:rPr/>
      </w:pPr>
      <w:r>
        <w:rPr>
          <w:sz w:val="22"/>
        </w:rPr>
        <w:t>BRET</w:t>
        <w:tab/>
      </w:r>
      <w:r>
        <w:rPr>
          <w:b/>
          <w:bCs/>
          <w:sz w:val="22"/>
        </w:rPr>
        <w:t>J-Line Abandonment - Section 7(b) application to abandon by removal approximately six hundred fifty feet (650’) of 20 &amp; 16-inch pipeline located in Seward County, Kansas.  The removal of the pipeline will eliminate a potential hazardous road crossing caused by years of erosion and road grading of the gravel road.  Northern is requesting expedited treatment for this application.  Application in progress.</w:t>
      </w:r>
      <w:r>
        <w:rPr>
          <w:sz w:val="22"/>
        </w:rPr>
        <w:t xml:space="preserve"> </w:t>
      </w:r>
    </w:p>
    <w:p>
      <w:pPr>
        <w:pStyle w:val="Normal"/>
        <w:ind w:hanging="1440" w:start="1440" w:end="0"/>
        <w:rPr>
          <w:sz w:val="22"/>
        </w:rPr>
      </w:pPr>
      <w:r>
        <w:rPr>
          <w:sz w:val="22"/>
        </w:rPr>
      </w:r>
    </w:p>
    <w:sectPr>
      <w:headerReference w:type="default" r:id="rId5"/>
      <w:footerReference w:type="default" r:id="rId6"/>
      <w:type w:val="nextPage"/>
      <w:pgSz w:w="12240" w:h="15840"/>
      <w:pgMar w:left="1195" w:right="1195" w:gutter="0" w:header="806" w:top="862" w:footer="806" w:bottom="862"/>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w:altName w:val="Courier New"/>
    <w:charset w:val="00" w:characterSet="windows-1252"/>
    <w:family w:val="modern"/>
    <w:pitch w:val="default"/>
  </w:font>
  <w:font w:name="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23"/>
      </w:rPr>
    </w:pPr>
    <w:r>
      <w:rPr>
        <w:sz w:val="23"/>
      </w:rPr>
      <w:fldChar w:fldCharType="begin"/>
    </w:r>
    <w:r>
      <w:rPr>
        <w:sz w:val="23"/>
      </w:rPr>
      <w:instrText xml:space="preserve"> PAGE </w:instrText>
    </w:r>
    <w:r>
      <w:rPr>
        <w:sz w:val="23"/>
      </w:rPr>
      <w:fldChar w:fldCharType="separate"/>
    </w:r>
    <w:r>
      <w:rPr>
        <w:sz w:val="23"/>
      </w:rPr>
      <w:t>0</w:t>
    </w:r>
    <w:r>
      <w:rPr>
        <w:sz w:val="23"/>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920" w:leader="none"/>
        <w:tab w:val="right" w:pos="9840" w:leader="none"/>
      </w:tabs>
      <w:ind w:end="360"/>
      <w:rPr>
        <w:sz w:val="23"/>
      </w:rPr>
    </w:pPr>
    <w:r>
      <w:rPr>
        <w:sz w:val="23"/>
      </w:rPr>
    </w:r>
    <w:r>
      <mc:AlternateContent>
        <mc:Choice Requires="wps">
          <w:drawing>
            <wp:anchor behindDoc="0" distT="0" distB="0" distL="0" distR="0" simplePos="0" locked="0" layoutInCell="0" allowOverlap="1" relativeHeight="12">
              <wp:simplePos x="0" y="0"/>
              <wp:positionH relativeFrom="margin">
                <wp:align>center</wp:align>
              </wp:positionH>
              <wp:positionV relativeFrom="paragraph">
                <wp:posOffset>635</wp:posOffset>
              </wp:positionV>
              <wp:extent cx="183515" cy="172720"/>
              <wp:effectExtent l="0" t="0" r="0" b="0"/>
              <wp:wrapSquare wrapText="bothSides"/>
              <wp:docPr id="2" name="Frame1"/>
              <a:graphic xmlns:a="http://schemas.openxmlformats.org/drawingml/2006/main">
                <a:graphicData uri="http://schemas.microsoft.com/office/word/2010/wordprocessingShape">
                  <wps:wsp>
                    <wps:cNvSpPr txBox="1"/>
                    <wps:spPr>
                      <a:xfrm>
                        <a:off x="0" y="0"/>
                        <a:ext cx="183515" cy="17272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4.45pt;height:13.6pt;mso-wrap-distance-left:0pt;mso-wrap-distance-right:0pt;mso-wrap-distance-top:0pt;mso-wrap-distance-bottom:0pt;margin-top:0.05pt;mso-position-vertical-relative:text;margin-left:239.0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txbxContent>
              </v:textbox>
              <w10:wrap type="squar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720" w:leader="none"/>
      </w:tabs>
      <w:jc w:val="both"/>
      <w:rPr>
        <w:sz w:val="12"/>
      </w:rPr>
    </w:pPr>
    <w:r>
      <w:rPr>
        <w:sz w:val="12"/>
      </w:rPr>
      <w:t>ENRON TRANSPORTATION &amp; STORAGE</w:t>
    </w:r>
  </w:p>
  <w:p>
    <w:pPr>
      <w:pStyle w:val="Normal"/>
      <w:tabs>
        <w:tab w:val="clear" w:pos="720"/>
        <w:tab w:val="left" w:pos="-720" w:leader="none"/>
      </w:tabs>
      <w:jc w:val="both"/>
      <w:rPr>
        <w:sz w:val="12"/>
      </w:rPr>
    </w:pPr>
    <w:r>
      <w:rPr>
        <w:sz w:val="12"/>
      </w:rPr>
      <w:t>Monthly Certificate Status Report</w:t>
    </w:r>
  </w:p>
  <w:p>
    <w:pPr>
      <w:pStyle w:val="Normal"/>
      <w:tabs>
        <w:tab w:val="clear" w:pos="720"/>
        <w:tab w:val="left" w:pos="-720" w:leader="none"/>
      </w:tabs>
      <w:jc w:val="both"/>
      <w:rPr>
        <w:sz w:val="19"/>
      </w:rPr>
    </w:pPr>
    <w:r>
      <w:rPr>
        <w:sz w:val="12"/>
      </w:rPr>
      <w:t>March 2, 2001</w:t>
    </w:r>
  </w:p>
  <w:p>
    <w:pPr>
      <w:pStyle w:val="Normal"/>
      <w:tabs>
        <w:tab w:val="clear" w:pos="720"/>
        <w:tab w:val="left" w:pos="-720" w:leader="none"/>
      </w:tabs>
      <w:spacing w:lineRule="exact" w:line="1" w:before="0" w:after="480"/>
      <w:jc w:val="both"/>
      <w:rPr>
        <w:sz w:val="19"/>
      </w:rPr>
    </w:pPr>
    <w:r>
      <w:rPr>
        <w:sz w:val="19"/>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numFmt w:val="bullet"/>
      <w:lvlText w:val=""/>
      <w:lvlJc w:val="start"/>
      <w:pPr>
        <w:tabs>
          <w:tab w:val="num" w:pos="288"/>
        </w:tabs>
        <w:ind w:start="1728" w:hanging="288"/>
      </w:pPr>
      <w:rPr>
        <w:rFonts w:ascii="Symbol" w:hAnsi="Symbol" w:cs="Symbol" w:hint="default"/>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spacing w:before="240" w:after="60"/>
      <w:jc w:val="center"/>
      <w:outlineLvl w:val="0"/>
    </w:pPr>
    <w:rPr>
      <w:rFonts w:ascii="Courier" w:hAnsi="Courier" w:cs="Courier"/>
      <w:b/>
      <w:kern w:val="2"/>
      <w:sz w:val="28"/>
    </w:rPr>
  </w:style>
  <w:style w:type="paragraph" w:styleId="Heading2">
    <w:name w:val="heading 2"/>
    <w:basedOn w:val="Normal"/>
    <w:next w:val="Normal"/>
    <w:qFormat/>
    <w:pPr>
      <w:keepNext w:val="true"/>
      <w:numPr>
        <w:ilvl w:val="1"/>
        <w:numId w:val="1"/>
      </w:numPr>
      <w:tabs>
        <w:tab w:val="left" w:pos="-720" w:leader="none"/>
        <w:tab w:val="left" w:pos="0" w:leader="none"/>
        <w:tab w:val="left" w:pos="720" w:leader="none"/>
        <w:tab w:val="left" w:pos="1440" w:leader="none"/>
        <w:tab w:val="left" w:pos="2160" w:leader="none"/>
        <w:tab w:val="left" w:pos="5760" w:leader="none"/>
      </w:tabs>
      <w:ind w:hanging="1440" w:start="1440" w:end="0"/>
      <w:jc w:val="center"/>
      <w:outlineLvl w:val="1"/>
    </w:pPr>
    <w:rPr>
      <w:color w:val="000000"/>
      <w:sz w:val="22"/>
    </w:rPr>
  </w:style>
  <w:style w:type="paragraph" w:styleId="Heading3">
    <w:name w:val="heading 3"/>
    <w:basedOn w:val="Normal"/>
    <w:next w:val="Normal"/>
    <w:qFormat/>
    <w:pPr>
      <w:keepNext w:val="true"/>
      <w:numPr>
        <w:ilvl w:val="2"/>
        <w:numId w:val="1"/>
      </w:numPr>
      <w:tabs>
        <w:tab w:val="left" w:pos="-720" w:leader="none"/>
        <w:tab w:val="left" w:pos="0" w:leader="none"/>
        <w:tab w:val="left" w:pos="720" w:leader="none"/>
        <w:tab w:val="left" w:pos="1440" w:leader="none"/>
        <w:tab w:val="left" w:pos="2160" w:leader="none"/>
        <w:tab w:val="left" w:pos="5760" w:leader="none"/>
      </w:tabs>
      <w:ind w:hanging="1440" w:start="1440" w:end="0"/>
      <w:jc w:val="both"/>
      <w:outlineLvl w:val="2"/>
    </w:pPr>
    <w:rPr>
      <w:rFonts w:ascii="Courier New" w:hAnsi="Courier New" w:cs="Courier New"/>
      <w:b/>
      <w:sz w:val="19"/>
    </w:rPr>
  </w:style>
  <w:style w:type="paragraph" w:styleId="Heading4">
    <w:name w:val="heading 4"/>
    <w:basedOn w:val="Normal"/>
    <w:next w:val="Normal"/>
    <w:qFormat/>
    <w:pPr>
      <w:keepNext w:val="true"/>
      <w:numPr>
        <w:ilvl w:val="3"/>
        <w:numId w:val="1"/>
      </w:numPr>
      <w:tabs>
        <w:tab w:val="clear" w:pos="720"/>
        <w:tab w:val="left" w:pos="-240" w:leader="none"/>
        <w:tab w:val="left" w:pos="480" w:leader="none"/>
        <w:tab w:val="left" w:pos="1200" w:leader="none"/>
        <w:tab w:val="left" w:pos="1920" w:leader="none"/>
        <w:tab w:val="left" w:pos="2640" w:leader="none"/>
        <w:tab w:val="left" w:pos="3360" w:leader="none"/>
        <w:tab w:val="left" w:pos="4080" w:leader="none"/>
        <w:tab w:val="left" w:pos="4800" w:leader="none"/>
        <w:tab w:val="left" w:pos="5520" w:leader="none"/>
        <w:tab w:val="left" w:pos="6240" w:leader="none"/>
        <w:tab w:val="left" w:pos="6960" w:leader="none"/>
        <w:tab w:val="left" w:pos="7680" w:leader="none"/>
        <w:tab w:val="left" w:pos="8400" w:leader="none"/>
        <w:tab w:val="left" w:pos="9120" w:leader="none"/>
        <w:tab w:val="left" w:pos="9840" w:leader="none"/>
        <w:tab w:val="left" w:pos="10560" w:leader="none"/>
        <w:tab w:val="left" w:pos="11280" w:leader="none"/>
        <w:tab w:val="left" w:pos="12000" w:leader="none"/>
        <w:tab w:val="left" w:pos="12720" w:leader="none"/>
        <w:tab w:val="left" w:pos="13440" w:leader="none"/>
        <w:tab w:val="left" w:pos="14160" w:leader="none"/>
        <w:tab w:val="left" w:pos="14880" w:leader="none"/>
        <w:tab w:val="left" w:pos="15600" w:leader="none"/>
        <w:tab w:val="left" w:pos="16320" w:leader="none"/>
      </w:tabs>
      <w:ind w:hanging="0" w:start="1200" w:end="480"/>
      <w:jc w:val="both"/>
      <w:outlineLvl w:val="3"/>
    </w:pPr>
    <w:rPr>
      <w:b/>
      <w:sz w:val="17"/>
    </w:rPr>
  </w:style>
  <w:style w:type="paragraph" w:styleId="Heading5">
    <w:name w:val="heading 5"/>
    <w:basedOn w:val="Normal"/>
    <w:next w:val="Normal"/>
    <w:qFormat/>
    <w:pPr>
      <w:keepNext w:val="true"/>
      <w:numPr>
        <w:ilvl w:val="4"/>
        <w:numId w:val="1"/>
      </w:numPr>
      <w:tabs>
        <w:tab w:val="left" w:pos="-720" w:leader="none"/>
        <w:tab w:val="left" w:pos="0" w:leader="none"/>
        <w:tab w:val="left" w:pos="720" w:leader="none"/>
        <w:tab w:val="left" w:pos="1440" w:leader="none"/>
        <w:tab w:val="left" w:pos="2160" w:leader="none"/>
        <w:tab w:val="left" w:pos="5760" w:leader="none"/>
      </w:tabs>
      <w:ind w:hanging="1440" w:start="1440" w:end="0"/>
      <w:jc w:val="center"/>
      <w:outlineLvl w:val="4"/>
    </w:pPr>
    <w:rPr>
      <w:sz w:val="22"/>
    </w:rPr>
  </w:style>
  <w:style w:type="paragraph" w:styleId="Heading6">
    <w:name w:val="heading 6"/>
    <w:basedOn w:val="Normal"/>
    <w:next w:val="Normal"/>
    <w:qFormat/>
    <w:pPr>
      <w:keepNext w:val="true"/>
      <w:numPr>
        <w:ilvl w:val="5"/>
        <w:numId w:val="1"/>
      </w:numPr>
      <w:jc w:val="center"/>
      <w:outlineLvl w:val="5"/>
    </w:pPr>
    <w:rPr>
      <w:rFonts w:ascii="Courier" w:hAnsi="Courier" w:cs="Courier"/>
      <w:sz w:val="22"/>
    </w:rPr>
  </w:style>
  <w:style w:type="paragraph" w:styleId="Heading7">
    <w:name w:val="heading 7"/>
    <w:basedOn w:val="Normal"/>
    <w:next w:val="Normal"/>
    <w:qFormat/>
    <w:pPr>
      <w:keepNext w:val="true"/>
      <w:numPr>
        <w:ilvl w:val="6"/>
        <w:numId w:val="1"/>
      </w:numPr>
      <w:tabs>
        <w:tab w:val="left" w:pos="-720" w:leader="none"/>
        <w:tab w:val="left" w:pos="0" w:leader="none"/>
        <w:tab w:val="left" w:pos="720" w:leader="none"/>
        <w:tab w:val="left" w:pos="1440" w:leader="none"/>
        <w:tab w:val="left" w:pos="2160" w:leader="none"/>
        <w:tab w:val="left" w:pos="5760" w:leader="none"/>
      </w:tabs>
      <w:ind w:hanging="1440" w:start="1440" w:end="0"/>
      <w:jc w:val="center"/>
      <w:outlineLvl w:val="6"/>
    </w:pPr>
    <w:rPr>
      <w:rFonts w:ascii="Courier New" w:hAnsi="Courier New" w:cs="Courier New"/>
      <w:b/>
      <w:sz w:val="24"/>
      <w:u w:val="single"/>
    </w:rPr>
  </w:style>
  <w:style w:type="paragraph" w:styleId="Heading8">
    <w:name w:val="heading 8"/>
    <w:basedOn w:val="Normal"/>
    <w:next w:val="Normal"/>
    <w:qFormat/>
    <w:pPr>
      <w:keepNext w:val="true"/>
      <w:numPr>
        <w:ilvl w:val="7"/>
        <w:numId w:val="1"/>
      </w:numPr>
      <w:tabs>
        <w:tab w:val="left" w:pos="-720" w:leader="none"/>
        <w:tab w:val="left" w:pos="0" w:leader="none"/>
        <w:tab w:val="left" w:pos="720" w:leader="none"/>
        <w:tab w:val="left" w:pos="1440" w:leader="none"/>
        <w:tab w:val="left" w:pos="2160" w:leader="none"/>
        <w:tab w:val="left" w:pos="5760" w:leader="none"/>
      </w:tabs>
      <w:ind w:hanging="1440" w:start="1440" w:end="0"/>
      <w:jc w:val="center"/>
      <w:outlineLvl w:val="7"/>
    </w:pPr>
    <w:rPr>
      <w:rFonts w:ascii="Courier New" w:hAnsi="Courier New" w:cs="Courier New"/>
      <w:b/>
      <w:sz w:val="24"/>
    </w:rPr>
  </w:style>
  <w:style w:type="paragraph" w:styleId="Heading9">
    <w:name w:val="heading 9"/>
    <w:basedOn w:val="Normal"/>
    <w:next w:val="Normal"/>
    <w:qFormat/>
    <w:pPr>
      <w:keepNext w:val="true"/>
      <w:numPr>
        <w:ilvl w:val="8"/>
        <w:numId w:val="1"/>
      </w:numPr>
      <w:tabs>
        <w:tab w:val="left" w:pos="-720" w:leader="none"/>
        <w:tab w:val="left" w:pos="0" w:leader="none"/>
        <w:tab w:val="left" w:pos="720" w:leader="none"/>
        <w:tab w:val="left" w:pos="1440" w:leader="none"/>
        <w:tab w:val="left" w:pos="2160" w:leader="none"/>
        <w:tab w:val="left" w:pos="5760" w:leader="none"/>
      </w:tabs>
      <w:jc w:val="center"/>
      <w:outlineLvl w:val="8"/>
    </w:pPr>
    <w:rPr>
      <w:rFonts w:ascii="Courier New" w:hAnsi="Courier New" w:cs="Courier New"/>
      <w:b/>
      <w:sz w:val="24"/>
      <w:u w:val="single"/>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St1z0">
    <w:name w:val="WW8NumSt1z0"/>
    <w:qFormat/>
    <w:rPr>
      <w:rFonts w:ascii="Symbol" w:hAnsi="Symbol" w:cs="Symbol"/>
    </w:rPr>
  </w:style>
  <w:style w:type="character" w:styleId="WW8NumSt2z0">
    <w:name w:val="WW8NumSt2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character" w:styleId="FootnoteCharacters">
    <w:name w:val="Footnote Characters"/>
    <w:basedOn w:val="DefaultParagraphFont"/>
    <w:qFormat/>
    <w:rPr>
      <w:vertAlign w:val="superscript"/>
    </w:rPr>
  </w:style>
  <w:style w:type="paragraph" w:styleId="Heading">
    <w:name w:val="Heading"/>
    <w:basedOn w:val="Normal"/>
    <w:next w:val="BodyText"/>
    <w:qFormat/>
    <w:pPr>
      <w:widowControl w:val="false"/>
    </w:pPr>
    <w:rPr>
      <w:rFonts w:ascii="Arial" w:hAnsi="Arial" w:cs="Arial"/>
      <w:b/>
      <w:sz w:val="24"/>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OC1">
    <w:name w:val="toc 1"/>
    <w:basedOn w:val="Normal"/>
    <w:next w:val="Normal"/>
    <w:pPr>
      <w:tabs>
        <w:tab w:val="clear" w:pos="720"/>
        <w:tab w:val="right" w:pos="9850" w:leader="none"/>
      </w:tabs>
      <w:spacing w:before="360" w:after="0"/>
    </w:pPr>
    <w:rPr>
      <w:rFonts w:ascii="Arial" w:hAnsi="Arial" w:cs="Arial"/>
      <w:b/>
      <w:caps/>
      <w:sz w:val="24"/>
    </w:rPr>
  </w:style>
  <w:style w:type="paragraph" w:styleId="BodyTextIndent2">
    <w:name w:val="Body Text Indent 2"/>
    <w:basedOn w:val="Normal"/>
    <w:qFormat/>
    <w:pPr>
      <w:tabs>
        <w:tab w:val="left" w:pos="-720" w:leader="none"/>
        <w:tab w:val="left" w:pos="0" w:leader="none"/>
        <w:tab w:val="left" w:pos="720" w:leader="none"/>
        <w:tab w:val="left" w:pos="1440" w:leader="none"/>
        <w:tab w:val="left" w:pos="2160" w:leader="none"/>
        <w:tab w:val="left" w:pos="5760" w:leader="none"/>
      </w:tabs>
      <w:ind w:hanging="1440" w:start="1440" w:end="0"/>
      <w:jc w:val="both"/>
    </w:pPr>
    <w:rPr>
      <w:rFonts w:ascii="Courier New" w:hAnsi="Courier New" w:cs="Courier New"/>
      <w:b/>
      <w:sz w:val="19"/>
    </w:rPr>
  </w:style>
  <w:style w:type="paragraph" w:styleId="BodyTextIndent3">
    <w:name w:val="Body Text Indent 3"/>
    <w:basedOn w:val="Normal"/>
    <w:qFormat/>
    <w:pPr>
      <w:tabs>
        <w:tab w:val="left" w:pos="-720" w:leader="none"/>
        <w:tab w:val="left" w:pos="720" w:leader="none"/>
        <w:tab w:val="left" w:pos="1440" w:leader="none"/>
        <w:tab w:val="left" w:pos="2160" w:leader="none"/>
        <w:tab w:val="left" w:pos="5760" w:leader="none"/>
      </w:tabs>
      <w:ind w:hanging="0" w:start="1440" w:end="0"/>
      <w:jc w:val="both"/>
    </w:pPr>
    <w:rPr>
      <w:rFonts w:ascii="Courier New" w:hAnsi="Courier New" w:cs="Courier New"/>
      <w:sz w:val="19"/>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jc w:val="center"/>
    </w:pPr>
    <w:rPr>
      <w:rFonts w:ascii="Courier New" w:hAnsi="Courier New" w:cs="Courier New"/>
      <w:sz w:val="24"/>
    </w:rPr>
  </w:style>
  <w:style w:type="paragraph" w:styleId="Header">
    <w:name w:val="header"/>
    <w:basedOn w:val="Normal"/>
    <w:pPr>
      <w:tabs>
        <w:tab w:val="clear" w:pos="720"/>
        <w:tab w:val="center" w:pos="4320" w:leader="none"/>
        <w:tab w:val="right" w:pos="8640" w:leader="none"/>
      </w:tabs>
    </w:pPr>
    <w:rPr/>
  </w:style>
  <w:style w:type="paragraph" w:styleId="BodyTextIndent">
    <w:name w:val="Body Text Indent"/>
    <w:basedOn w:val="Normal"/>
    <w:pPr>
      <w:tabs>
        <w:tab w:val="clear" w:pos="720"/>
        <w:tab w:val="center" w:pos="4920" w:leader="none"/>
      </w:tabs>
      <w:ind w:hanging="0" w:start="720" w:end="0"/>
      <w:jc w:val="both"/>
    </w:pPr>
    <w:rPr>
      <w:sz w:val="22"/>
    </w:rPr>
  </w:style>
  <w:style w:type="paragraph" w:styleId="FootnoteText">
    <w:name w:val="footnote text"/>
    <w:basedOn w:val="Normal"/>
    <w:pPr>
      <w:widowControl w:val="false"/>
    </w:pPr>
    <w:rPr>
      <w:sz w:val="24"/>
    </w:rPr>
  </w:style>
  <w:style w:type="paragraph" w:styleId="Subject">
    <w:name w:val="Subject"/>
    <w:basedOn w:val="Normal"/>
    <w:qFormat/>
    <w:pPr>
      <w:widowControl w:val="false"/>
    </w:pPr>
    <w:rPr>
      <w:rFonts w:ascii="Arial" w:hAnsi="Arial" w:cs="Arial"/>
    </w:rPr>
  </w:style>
  <w:style w:type="paragraph" w:styleId="Date">
    <w:name w:val="Date"/>
    <w:basedOn w:val="Normal"/>
    <w:qFormat/>
    <w:pPr>
      <w:widowControl w:val="false"/>
    </w:pPr>
    <w:rPr>
      <w:rFonts w:ascii="Arial" w:hAnsi="Arial" w:cs="Arial"/>
    </w:rPr>
  </w:style>
  <w:style w:type="paragraph" w:styleId="To">
    <w:name w:val="To"/>
    <w:basedOn w:val="Normal"/>
    <w:qFormat/>
    <w:pPr>
      <w:widowControl w:val="false"/>
    </w:pPr>
    <w:rPr>
      <w:rFonts w:ascii="Arial" w:hAnsi="Arial" w:cs="Arial"/>
    </w:rPr>
  </w:style>
  <w:style w:type="paragraph" w:styleId="From">
    <w:name w:val="From"/>
    <w:basedOn w:val="Normal"/>
    <w:qFormat/>
    <w:pPr>
      <w:widowControl w:val="false"/>
    </w:pPr>
    <w:rPr>
      <w:rFonts w:ascii="Arial" w:hAnsi="Arial" w:cs="Arial"/>
    </w:rPr>
  </w:style>
  <w:style w:type="paragraph" w:styleId="Body">
    <w:name w:val="Body"/>
    <w:basedOn w:val="Normal"/>
    <w:qFormat/>
    <w:pPr>
      <w:widowControl w:val="false"/>
      <w:ind w:hanging="0" w:start="72" w:end="0"/>
    </w:pPr>
    <w:rPr>
      <w:rFonts w:ascii="Arial" w:hAnsi="Arial" w:cs="Arial"/>
      <w:color w:val="000080"/>
    </w:rPr>
  </w:style>
  <w:style w:type="paragraph" w:styleId="Department">
    <w:name w:val="Department"/>
    <w:basedOn w:val="Normal"/>
    <w:qFormat/>
    <w:pPr>
      <w:widowControl w:val="false"/>
    </w:pPr>
    <w:rPr>
      <w:rFonts w:ascii="Arial" w:hAnsi="Arial" w:cs="Arial"/>
    </w:rPr>
  </w:style>
  <w:style w:type="paragraph" w:styleId="BlockText">
    <w:name w:val="Block Text"/>
    <w:basedOn w:val="Normal"/>
    <w:qFormat/>
    <w:pPr>
      <w:tabs>
        <w:tab w:val="clear" w:pos="720"/>
        <w:tab w:val="left" w:pos="-240" w:leader="none"/>
        <w:tab w:val="left" w:pos="480" w:leader="none"/>
        <w:tab w:val="left" w:pos="1200" w:leader="none"/>
        <w:tab w:val="left" w:pos="1920" w:leader="none"/>
        <w:tab w:val="left" w:pos="2430" w:leader="none"/>
        <w:tab w:val="left" w:pos="2640" w:leader="none"/>
        <w:tab w:val="left" w:pos="3360" w:leader="none"/>
        <w:tab w:val="left" w:pos="4080" w:leader="none"/>
        <w:tab w:val="left" w:pos="4800" w:leader="none"/>
        <w:tab w:val="left" w:pos="5520" w:leader="none"/>
        <w:tab w:val="left" w:pos="6240" w:leader="none"/>
        <w:tab w:val="left" w:pos="6960" w:leader="none"/>
        <w:tab w:val="left" w:pos="7680" w:leader="none"/>
        <w:tab w:val="left" w:pos="8400" w:leader="none"/>
        <w:tab w:val="left" w:pos="9120" w:leader="none"/>
        <w:tab w:val="left" w:pos="9840" w:leader="none"/>
        <w:tab w:val="left" w:pos="10560" w:leader="none"/>
        <w:tab w:val="left" w:pos="11280" w:leader="none"/>
        <w:tab w:val="left" w:pos="12000" w:leader="none"/>
        <w:tab w:val="left" w:pos="12720" w:leader="none"/>
        <w:tab w:val="left" w:pos="13440" w:leader="none"/>
        <w:tab w:val="left" w:pos="14160" w:leader="none"/>
        <w:tab w:val="left" w:pos="14880" w:leader="none"/>
        <w:tab w:val="left" w:pos="15600" w:leader="none"/>
        <w:tab w:val="left" w:pos="16320" w:leader="none"/>
      </w:tabs>
      <w:ind w:hanging="0" w:start="480" w:end="480"/>
      <w:jc w:val="both"/>
    </w:pPr>
    <w:rPr>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header" Target="header1.xml"/><Relationship Id="rId6" Type="http://schemas.openxmlformats.org/officeDocument/2006/relationships/footer" Target="footer3.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2001-03-02T15:06:00Z</dcterms:created>
  <dc:creator>Enron</dc:creator>
  <dc:description/>
  <dc:language>en-CA</dc:language>
  <cp:lastModifiedBy>jcall</cp:lastModifiedBy>
  <cp:lastPrinted>2001-03-02T11:34:00Z</cp:lastPrinted>
  <dcterms:modified xsi:type="dcterms:W3CDTF">2001-03-02T15:06:00Z</dcterms:modified>
  <cp:revision>2</cp:revision>
  <dc:subject/>
  <dc:title>E T &amp; S</dc:title>
</cp:coreProperties>
</file>