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Manitoba-Hydro Services Deal – Procedures</w:t>
      </w:r>
    </w:p>
    <w:p>
      <w:pPr>
        <w:pStyle w:val="Heading"/>
        <w:rPr/>
      </w:pPr>
      <w:r>
        <w:rPr/>
      </w:r>
    </w:p>
    <w:p>
      <w:pPr>
        <w:pStyle w:val="Heading"/>
        <w:rPr>
          <w:b w:val="false"/>
          <w:bCs w:val="false"/>
          <w:u w:val="none"/>
        </w:rPr>
      </w:pPr>
      <w:r>
        <w:rPr>
          <w:b w:val="false"/>
          <w:bCs w:val="false"/>
          <w:u w:val="none"/>
        </w:rPr>
        <w:t>J.D. Kinser x36152</w:t>
      </w:r>
    </w:p>
    <w:p>
      <w:pPr>
        <w:pStyle w:val="Normal"/>
        <w:rPr>
          <w:b/>
          <w:bCs/>
          <w:u w:val="none"/>
        </w:rPr>
      </w:pPr>
      <w:r>
        <w:rPr>
          <w:b/>
          <w:bCs/>
          <w:u w:val="none"/>
        </w:rPr>
      </w:r>
    </w:p>
    <w:p>
      <w:pPr>
        <w:pStyle w:val="Normal"/>
        <w:rPr/>
      </w:pPr>
      <w:r>
        <w:rPr/>
      </w:r>
    </w:p>
    <w:p>
      <w:pPr>
        <w:pStyle w:val="Normal"/>
        <w:rPr/>
      </w:pPr>
      <w:r>
        <w:rPr/>
        <w:t>With the end of summer, Manitoba will have considerably more energy to market because its on-peak power is no longer completely under contract.  Our focus should now expand to cover on-peak as well as off-peak. In addition, we are to pursue selling to MHEB, splitting the profit with them just as we do when purchasing from them.  A list of general procedures to help in marketing MHEB power is as follows:</w:t>
      </w:r>
    </w:p>
    <w:p>
      <w:pPr>
        <w:pStyle w:val="Normal"/>
        <w:rPr/>
      </w:pPr>
      <w:r>
        <w:rPr/>
      </w:r>
    </w:p>
    <w:p>
      <w:pPr>
        <w:pStyle w:val="Heading1"/>
        <w:ind w:hanging="0" w:start="0"/>
        <w:rPr/>
      </w:pPr>
      <w:r>
        <w:rPr/>
        <w:t>Checking Paths from MHEB</w:t>
      </w:r>
    </w:p>
    <w:p>
      <w:pPr>
        <w:pStyle w:val="Normal"/>
        <w:ind w:start="420" w:end="0"/>
        <w:rPr/>
      </w:pPr>
      <w:r>
        <w:rPr/>
      </w:r>
    </w:p>
    <w:p>
      <w:pPr>
        <w:pStyle w:val="Normal"/>
        <w:rPr/>
      </w:pPr>
      <w:r>
        <w:rPr/>
        <w:t xml:space="preserve">Checking ATC from MHEB: </w:t>
      </w:r>
    </w:p>
    <w:p>
      <w:pPr>
        <w:pStyle w:val="Normal"/>
        <w:numPr>
          <w:ilvl w:val="0"/>
          <w:numId w:val="5"/>
        </w:numPr>
        <w:rPr/>
      </w:pPr>
      <w:r>
        <w:rPr/>
        <w:t xml:space="preserve">On the MAPP Schedule-F Oasis page, click on “INFORMATION”.  </w:t>
      </w:r>
    </w:p>
    <w:p>
      <w:pPr>
        <w:pStyle w:val="Normal"/>
        <w:numPr>
          <w:ilvl w:val="0"/>
          <w:numId w:val="5"/>
        </w:numPr>
        <w:rPr/>
      </w:pPr>
      <w:r>
        <w:rPr/>
        <w:t>Under “Transmission Capability”, click “ATC Postings”.</w:t>
      </w:r>
    </w:p>
    <w:p>
      <w:pPr>
        <w:pStyle w:val="Normal"/>
        <w:numPr>
          <w:ilvl w:val="0"/>
          <w:numId w:val="5"/>
        </w:numPr>
        <w:rPr/>
      </w:pPr>
      <w:r>
        <w:rPr/>
        <w:t>Under “Operating Horizon-Flowgate”, click “Priority 2 (hourly)”.</w:t>
      </w:r>
    </w:p>
    <w:p>
      <w:pPr>
        <w:pStyle w:val="Normal"/>
        <w:numPr>
          <w:ilvl w:val="0"/>
          <w:numId w:val="5"/>
        </w:numPr>
        <w:rPr/>
      </w:pPr>
      <w:r>
        <w:rPr/>
        <w:t>Look for positive ATC on the various lines affecting flow from MHEB.</w:t>
      </w:r>
    </w:p>
    <w:p>
      <w:pPr>
        <w:pStyle w:val="Normal"/>
        <w:rPr/>
      </w:pPr>
      <w:r>
        <w:rPr/>
      </w:r>
    </w:p>
    <w:p>
      <w:pPr>
        <w:pStyle w:val="Normal"/>
        <w:rPr/>
      </w:pPr>
      <w:r>
        <w:rPr/>
        <w:t>Lines that impact flow from MHEB:</w:t>
      </w:r>
    </w:p>
    <w:p>
      <w:pPr>
        <w:pStyle w:val="Normal"/>
        <w:numPr>
          <w:ilvl w:val="0"/>
          <w:numId w:val="9"/>
        </w:numPr>
        <w:rPr/>
      </w:pPr>
      <w:r>
        <w:rPr/>
        <w:t>MHEX_S</w:t>
        <w:tab/>
        <w:tab/>
        <w:t xml:space="preserve"> Manitoba exports south.</w:t>
        <w:tab/>
        <w:tab/>
        <w:t>6002</w:t>
      </w:r>
    </w:p>
    <w:p>
      <w:pPr>
        <w:pStyle w:val="Normal"/>
        <w:numPr>
          <w:ilvl w:val="0"/>
          <w:numId w:val="9"/>
        </w:numPr>
        <w:rPr/>
      </w:pPr>
      <w:r>
        <w:rPr/>
        <w:t>ECL_ARP</w:t>
        <w:tab/>
        <w:tab/>
        <w:t>To COMED</w:t>
        <w:tab/>
        <w:tab/>
        <w:tab/>
        <w:tab/>
        <w:t>3006,3009</w:t>
      </w:r>
    </w:p>
    <w:p>
      <w:pPr>
        <w:pStyle w:val="Normal"/>
        <w:numPr>
          <w:ilvl w:val="0"/>
          <w:numId w:val="9"/>
        </w:numPr>
        <w:rPr/>
      </w:pPr>
      <w:r>
        <w:rPr/>
        <w:t>FTCAL_S</w:t>
        <w:tab/>
        <w:tab/>
        <w:t>OPPD line to SPP</w:t>
        <w:tab/>
        <w:tab/>
        <w:tab/>
        <w:t>6014</w:t>
      </w:r>
    </w:p>
    <w:p>
      <w:pPr>
        <w:pStyle w:val="Normal"/>
        <w:numPr>
          <w:ilvl w:val="0"/>
          <w:numId w:val="9"/>
        </w:numPr>
        <w:rPr/>
      </w:pPr>
      <w:r>
        <w:rPr/>
        <w:t>PRI-BYN</w:t>
        <w:tab/>
        <w:tab/>
        <w:t>To NSP</w:t>
        <w:tab/>
        <w:tab/>
        <w:tab/>
        <w:tab/>
        <w:t>6012</w:t>
      </w:r>
    </w:p>
    <w:p>
      <w:pPr>
        <w:pStyle w:val="Normal"/>
        <w:numPr>
          <w:ilvl w:val="0"/>
          <w:numId w:val="9"/>
        </w:numPr>
        <w:rPr/>
      </w:pPr>
      <w:r>
        <w:rPr/>
        <w:t>COOPER_S</w:t>
        <w:tab/>
        <w:tab/>
        <w:t>To SPP</w:t>
        <w:tab/>
        <w:tab/>
        <w:tab/>
        <w:tab/>
        <w:t>6009</w:t>
      </w:r>
    </w:p>
    <w:p>
      <w:pPr>
        <w:pStyle w:val="Normal"/>
        <w:numPr>
          <w:ilvl w:val="0"/>
          <w:numId w:val="9"/>
        </w:numPr>
        <w:rPr/>
      </w:pPr>
      <w:r>
        <w:rPr/>
        <w:t>MWSI</w:t>
        <w:tab/>
        <w:tab/>
        <w:tab/>
        <w:t>Minnesota exports</w:t>
        <w:tab/>
        <w:tab/>
        <w:tab/>
        <w:t>6004</w:t>
      </w:r>
    </w:p>
    <w:p>
      <w:pPr>
        <w:pStyle w:val="Normal"/>
        <w:numPr>
          <w:ilvl w:val="0"/>
          <w:numId w:val="9"/>
        </w:numPr>
        <w:rPr/>
      </w:pPr>
      <w:r>
        <w:rPr/>
        <w:t>MNTZUMA_W</w:t>
        <w:tab/>
        <w:tab/>
        <w:tab/>
        <w:tab/>
        <w:tab/>
        <w:tab/>
        <w:t>10446</w:t>
      </w:r>
    </w:p>
    <w:p>
      <w:pPr>
        <w:pStyle w:val="Normal"/>
        <w:rPr/>
      </w:pPr>
      <w:r>
        <w:rPr/>
      </w:r>
    </w:p>
    <w:p>
      <w:pPr>
        <w:pStyle w:val="Normal"/>
        <w:rPr/>
      </w:pPr>
      <w:r>
        <w:rPr/>
        <w:t>If any of the lines show negative ATC, you can check the impact that a specific flowgate has on a specific source/sink combination by looking on OATI:</w:t>
      </w:r>
    </w:p>
    <w:p>
      <w:pPr>
        <w:pStyle w:val="Normal"/>
        <w:numPr>
          <w:ilvl w:val="0"/>
          <w:numId w:val="7"/>
        </w:numPr>
        <w:rPr/>
      </w:pPr>
      <w:r>
        <w:rPr/>
        <w:t>On OATI, click on the “Congestion” tab.</w:t>
      </w:r>
    </w:p>
    <w:p>
      <w:pPr>
        <w:pStyle w:val="Normal"/>
        <w:numPr>
          <w:ilvl w:val="0"/>
          <w:numId w:val="7"/>
        </w:numPr>
        <w:rPr/>
      </w:pPr>
      <w:r>
        <w:rPr/>
        <w:t>Click on the “FG Impact” tab.</w:t>
      </w:r>
    </w:p>
    <w:p>
      <w:pPr>
        <w:pStyle w:val="Normal"/>
        <w:numPr>
          <w:ilvl w:val="0"/>
          <w:numId w:val="7"/>
        </w:numPr>
        <w:rPr/>
      </w:pPr>
      <w:r>
        <w:rPr/>
        <w:t>Enter the flowgate in question, beginning with its identifier number shown above (e.g. 6002 – MHEX_S).</w:t>
      </w:r>
    </w:p>
    <w:p>
      <w:pPr>
        <w:pStyle w:val="Normal"/>
        <w:numPr>
          <w:ilvl w:val="0"/>
          <w:numId w:val="7"/>
        </w:numPr>
        <w:rPr/>
      </w:pPr>
      <w:r>
        <w:rPr/>
        <w:t>Sort By “Sink CA”, with Source CA set to “MHEB”.</w:t>
      </w:r>
    </w:p>
    <w:p>
      <w:pPr>
        <w:pStyle w:val="Normal"/>
        <w:numPr>
          <w:ilvl w:val="0"/>
          <w:numId w:val="7"/>
        </w:numPr>
        <w:rPr/>
      </w:pPr>
      <w:r>
        <w:rPr/>
        <w:t>Click “View Flowgate Impacts”.</w:t>
      </w:r>
    </w:p>
    <w:p>
      <w:pPr>
        <w:pStyle w:val="Normal"/>
        <w:numPr>
          <w:ilvl w:val="0"/>
          <w:numId w:val="7"/>
        </w:numPr>
        <w:rPr/>
      </w:pPr>
      <w:r>
        <w:rPr/>
        <w:t>If any flowgate shows greater that or equal to 5%, the schedule will be cut using non-firm hourly transmission if that line has negative ATC.</w:t>
      </w:r>
    </w:p>
    <w:p>
      <w:pPr>
        <w:pStyle w:val="Normal"/>
        <w:rPr/>
      </w:pPr>
      <w:r>
        <w:rPr/>
      </w:r>
    </w:p>
    <w:p>
      <w:pPr>
        <w:pStyle w:val="Heading1"/>
        <w:ind w:hanging="0" w:start="0"/>
        <w:rPr/>
      </w:pPr>
      <w:r>
        <w:rPr/>
        <w:t>Calling MHEB for an Hourly Reference Price</w:t>
      </w:r>
    </w:p>
    <w:p>
      <w:pPr>
        <w:pStyle w:val="Normal"/>
        <w:rPr>
          <w:b/>
          <w:bCs/>
          <w:u w:val="single"/>
        </w:rPr>
      </w:pPr>
      <w:r>
        <w:rPr>
          <w:b/>
          <w:bCs/>
          <w:u w:val="single"/>
        </w:rPr>
      </w:r>
    </w:p>
    <w:p>
      <w:pPr>
        <w:pStyle w:val="Normal"/>
        <w:rPr/>
      </w:pPr>
      <w:r>
        <w:rPr/>
        <w:t xml:space="preserve">MHEB will give us a reference price.  This price is what they can sell to the market at their border (Dorsey230).  If we can sell outside of MAPP at a greater price, net of transmission and losses, then we should purchase the power.  </w:t>
      </w:r>
    </w:p>
    <w:p>
      <w:pPr>
        <w:pStyle w:val="Normal"/>
        <w:numPr>
          <w:ilvl w:val="0"/>
          <w:numId w:val="4"/>
        </w:numPr>
        <w:rPr/>
      </w:pPr>
      <w:r>
        <w:rPr/>
        <w:t>Each morning around 6:30, call Glen (ph. 204-474-4317), the MHEB next-day trader, and check the reference price for the following day’s off-peak and on-peak, if available.  Note that you generally do not have to take the whole off-peak schedule to get the quoted off-peak price.</w:t>
      </w:r>
    </w:p>
    <w:p>
      <w:pPr>
        <w:pStyle w:val="Normal"/>
        <w:numPr>
          <w:ilvl w:val="0"/>
          <w:numId w:val="4"/>
        </w:numPr>
        <w:rPr/>
      </w:pPr>
      <w:r>
        <w:rPr/>
        <w:t>Check hourly during the day and night to do incremental deals and for the opportunity to fill existing Hourly-MW and Hourly-SE shorts.</w:t>
      </w:r>
    </w:p>
    <w:p>
      <w:pPr>
        <w:pStyle w:val="Normal"/>
        <w:rPr/>
      </w:pPr>
      <w:r>
        <w:rPr/>
      </w:r>
    </w:p>
    <w:p>
      <w:pPr>
        <w:pStyle w:val="Heading1"/>
        <w:ind w:hanging="0" w:start="0"/>
        <w:rPr/>
      </w:pPr>
      <w:r>
        <w:rPr/>
        <w:t>Obtaining MAPP Transmission</w:t>
      </w:r>
    </w:p>
    <w:p>
      <w:pPr>
        <w:pStyle w:val="Normal"/>
        <w:rPr>
          <w:b/>
          <w:bCs/>
          <w:u w:val="single"/>
        </w:rPr>
      </w:pPr>
      <w:r>
        <w:rPr>
          <w:b/>
          <w:bCs/>
          <w:u w:val="single"/>
        </w:rPr>
      </w:r>
    </w:p>
    <w:p>
      <w:pPr>
        <w:pStyle w:val="Normal"/>
        <w:numPr>
          <w:ilvl w:val="0"/>
          <w:numId w:val="6"/>
        </w:numPr>
        <w:rPr>
          <w:b/>
          <w:bCs/>
          <w:u w:val="single"/>
        </w:rPr>
      </w:pPr>
      <w:r>
        <w:rPr/>
        <w:t>In order to compete effectively with other marketers for transmission and to avoid forgetting about the noon submission time for next-day transmission, it is a good idea to put in some schedules through OATI.</w:t>
      </w:r>
    </w:p>
    <w:p>
      <w:pPr>
        <w:pStyle w:val="Normal"/>
        <w:numPr>
          <w:ilvl w:val="1"/>
          <w:numId w:val="6"/>
        </w:numPr>
        <w:rPr>
          <w:b/>
          <w:bCs/>
          <w:u w:val="single"/>
        </w:rPr>
      </w:pPr>
      <w:r>
        <w:rPr/>
        <w:t>Click on “Oasis” tab.</w:t>
      </w:r>
    </w:p>
    <w:p>
      <w:pPr>
        <w:pStyle w:val="Normal"/>
        <w:numPr>
          <w:ilvl w:val="1"/>
          <w:numId w:val="6"/>
        </w:numPr>
        <w:rPr>
          <w:b/>
          <w:bCs/>
          <w:u w:val="single"/>
        </w:rPr>
      </w:pPr>
      <w:r>
        <w:rPr/>
        <w:t>Click on “New TSR” tab.</w:t>
      </w:r>
    </w:p>
    <w:p>
      <w:pPr>
        <w:pStyle w:val="Normal"/>
        <w:numPr>
          <w:ilvl w:val="1"/>
          <w:numId w:val="6"/>
        </w:numPr>
        <w:rPr>
          <w:b/>
          <w:bCs/>
          <w:u w:val="single"/>
        </w:rPr>
      </w:pPr>
      <w:r>
        <w:rPr/>
        <w:t>Enter request in the yellow section.</w:t>
      </w:r>
    </w:p>
    <w:p>
      <w:pPr>
        <w:pStyle w:val="Normal"/>
        <w:numPr>
          <w:ilvl w:val="1"/>
          <w:numId w:val="6"/>
        </w:numPr>
        <w:rPr>
          <w:b/>
          <w:bCs/>
          <w:u w:val="single"/>
        </w:rPr>
      </w:pPr>
      <w:r>
        <w:rPr/>
        <w:t>Click on “Create”</w:t>
      </w:r>
    </w:p>
    <w:p>
      <w:pPr>
        <w:pStyle w:val="Normal"/>
        <w:numPr>
          <w:ilvl w:val="1"/>
          <w:numId w:val="6"/>
        </w:numPr>
        <w:rPr>
          <w:b/>
          <w:bCs/>
          <w:u w:val="single"/>
        </w:rPr>
      </w:pPr>
      <w:r>
        <w:rPr/>
        <w:t>Under “TSR Option”, select “Scheduled Submit”, and enter “12:00” for the present day.</w:t>
      </w:r>
    </w:p>
    <w:p>
      <w:pPr>
        <w:pStyle w:val="Normal"/>
        <w:numPr>
          <w:ilvl w:val="1"/>
          <w:numId w:val="6"/>
        </w:numPr>
        <w:rPr>
          <w:b/>
          <w:bCs/>
          <w:u w:val="single"/>
        </w:rPr>
      </w:pPr>
      <w:r>
        <w:rPr/>
        <w:t>Submit request.</w:t>
      </w:r>
    </w:p>
    <w:p>
      <w:pPr>
        <w:pStyle w:val="Normal"/>
        <w:numPr>
          <w:ilvl w:val="0"/>
          <w:numId w:val="6"/>
        </w:numPr>
        <w:rPr>
          <w:b/>
          <w:bCs/>
          <w:u w:val="single"/>
        </w:rPr>
      </w:pPr>
      <w:r>
        <w:rPr/>
        <w:t>At noon OATI will submit all request to MAPP at five-millisecond intervals in the order in which requests were entered.  You may submit these requests up to a year in advance so get them in as soon as possible in order to obtain the best place in line.  If you anticipate doing similar schedules all week, then enter requests a week in advance.</w:t>
      </w:r>
    </w:p>
    <w:p>
      <w:pPr>
        <w:pStyle w:val="Normal"/>
        <w:numPr>
          <w:ilvl w:val="0"/>
          <w:numId w:val="6"/>
        </w:numPr>
        <w:rPr>
          <w:b/>
          <w:bCs/>
          <w:u w:val="single"/>
        </w:rPr>
      </w:pPr>
      <w:r>
        <w:rPr/>
        <w:t xml:space="preserve">If entering multiple requests into OATI (e.g. KCPL.AMRN and MEC.AMRN) with the anticipation of only taking one, then do not pre-confirm both requests.  Once a schedule is accepted by MAPP, you will have 5 minutes in which to Confirm.  Watch request status on the MAPP Oasis page, not OATI, because there is a lag between the two. </w:t>
      </w:r>
    </w:p>
    <w:p>
      <w:pPr>
        <w:pStyle w:val="Normal"/>
        <w:numPr>
          <w:ilvl w:val="0"/>
          <w:numId w:val="6"/>
        </w:numPr>
        <w:rPr>
          <w:b/>
          <w:bCs/>
          <w:u w:val="single"/>
        </w:rPr>
      </w:pPr>
      <w:r>
        <w:rPr/>
        <w:t>This lag gives you the opportunity to submit one request manually at noon that should beat most, if not all, OATI requests to the queue. So it is a good idea to use OATI and manual submission in a combination to ensure transmission.</w:t>
      </w:r>
    </w:p>
    <w:p>
      <w:pPr>
        <w:pStyle w:val="Normal"/>
        <w:numPr>
          <w:ilvl w:val="0"/>
          <w:numId w:val="6"/>
        </w:numPr>
        <w:rPr>
          <w:b/>
          <w:bCs/>
          <w:u w:val="single"/>
        </w:rPr>
      </w:pPr>
      <w:r>
        <w:rPr/>
        <w:t xml:space="preserve">Sometimes requests entered at noon for the next-day will be refused for the lack of ATC.  Do not give up.  Quite often ATC will reappear later in the afternoon because transmission is very dynamic and MAPP recalculates its numbers every 8 minutes. Someone may enter an opposite schedule, thus freeing up ATC in the direction you wish to move.  A downed transmission line may be repaired.  A company with firm service may choose not to utilize their transmission, thus freeing up more ATC for hourly requests.    </w:t>
      </w:r>
    </w:p>
    <w:p>
      <w:pPr>
        <w:pStyle w:val="Normal"/>
        <w:ind w:start="360" w:end="0"/>
        <w:rPr>
          <w:b/>
          <w:bCs/>
          <w:u w:val="single"/>
        </w:rPr>
      </w:pPr>
      <w:r>
        <w:rPr>
          <w:b/>
          <w:bCs/>
          <w:u w:val="single"/>
        </w:rPr>
      </w:r>
    </w:p>
    <w:p>
      <w:pPr>
        <w:pStyle w:val="Normal"/>
        <w:rPr>
          <w:b/>
          <w:bCs/>
          <w:u w:val="single"/>
        </w:rPr>
      </w:pPr>
      <w:r>
        <w:rPr>
          <w:b/>
          <w:bCs/>
          <w:u w:val="single"/>
        </w:rPr>
      </w:r>
    </w:p>
    <w:p>
      <w:pPr>
        <w:pStyle w:val="Heading1"/>
        <w:ind w:hanging="0" w:start="0"/>
        <w:rPr/>
      </w:pPr>
      <w:r>
        <w:rPr/>
        <w:t>Entering the deals into the P/L and EnPower</w:t>
      </w:r>
    </w:p>
    <w:p>
      <w:pPr>
        <w:pStyle w:val="Normal"/>
        <w:rPr/>
      </w:pPr>
      <w:r>
        <w:rPr/>
      </w:r>
    </w:p>
    <w:p>
      <w:pPr>
        <w:pStyle w:val="Normal"/>
        <w:numPr>
          <w:ilvl w:val="0"/>
          <w:numId w:val="2"/>
        </w:numPr>
        <w:rPr/>
      </w:pPr>
      <w:r>
        <w:rPr/>
        <w:t>Enter all MHEB deals into the Services P/L just like you would an MDEA deal.</w:t>
      </w:r>
    </w:p>
    <w:p>
      <w:pPr>
        <w:pStyle w:val="Normal"/>
        <w:numPr>
          <w:ilvl w:val="0"/>
          <w:numId w:val="2"/>
        </w:numPr>
        <w:rPr>
          <w:b/>
          <w:bCs/>
        </w:rPr>
      </w:pPr>
      <w:r>
        <w:rPr/>
        <w:t xml:space="preserve">We split any profit evenly with MHEB. For example, if the Reference Price = $10, MAPP transmission cost is $1.50, and our Sales Price to AMRN is $14, then we have a profit of $2.50 which we split.  </w:t>
      </w:r>
      <w:r>
        <w:rPr>
          <w:b/>
          <w:bCs/>
        </w:rPr>
        <w:t xml:space="preserve">Thus, the true supply price that we communicate to MHEB and enter into the P/L and EnPower is $11.25, </w:t>
      </w:r>
      <w:r>
        <w:rPr>
          <w:b/>
          <w:bCs/>
          <w:i/>
          <w:iCs/>
        </w:rPr>
        <w:t xml:space="preserve">not </w:t>
      </w:r>
      <w:r>
        <w:rPr>
          <w:b/>
          <w:bCs/>
        </w:rPr>
        <w:t>$10.</w:t>
      </w:r>
    </w:p>
    <w:p>
      <w:pPr>
        <w:pStyle w:val="Normal"/>
        <w:numPr>
          <w:ilvl w:val="0"/>
          <w:numId w:val="2"/>
        </w:numPr>
        <w:rPr>
          <w:b/>
          <w:bCs/>
        </w:rPr>
      </w:pPr>
      <w:r>
        <w:rPr/>
        <w:t>Make sure to enter the deals under the correct book/desk in EnPower: EPMI-ManitobaHydro-SVCE.</w:t>
      </w:r>
    </w:p>
    <w:p>
      <w:pPr>
        <w:pStyle w:val="Normal"/>
        <w:rPr>
          <w:b/>
          <w:bCs/>
        </w:rPr>
      </w:pPr>
      <w:r>
        <w:rPr>
          <w:b/>
          <w:bCs/>
        </w:rPr>
      </w:r>
    </w:p>
    <w:p>
      <w:pPr>
        <w:pStyle w:val="Heading1"/>
        <w:ind w:hanging="0" w:start="0"/>
        <w:rPr/>
      </w:pPr>
      <w:r>
        <w:rPr/>
        <w:t>Checking out with MHEB Deal Settlements</w:t>
      </w:r>
    </w:p>
    <w:p>
      <w:pPr>
        <w:pStyle w:val="Normal"/>
        <w:rPr/>
      </w:pPr>
      <w:r>
        <w:rPr/>
      </w:r>
    </w:p>
    <w:p>
      <w:pPr>
        <w:pStyle w:val="Normal"/>
        <w:numPr>
          <w:ilvl w:val="0"/>
          <w:numId w:val="8"/>
        </w:numPr>
        <w:rPr/>
      </w:pPr>
      <w:r>
        <w:rPr/>
        <w:t xml:space="preserve">For each deal, enter the MHEB Reference Price and the Actual Supply Price paid to MHEB in the Checkout sheet at M:Eservices/Manitoba/MHEBcheckout. </w:t>
      </w:r>
    </w:p>
    <w:p>
      <w:pPr>
        <w:pStyle w:val="Normal"/>
        <w:numPr>
          <w:ilvl w:val="0"/>
          <w:numId w:val="8"/>
        </w:numPr>
        <w:rPr/>
      </w:pPr>
      <w:r>
        <w:rPr/>
        <w:t>This sheet is a simple way to checkout with MHEB and to communicate to them the value that Enron is adding through our interchange agreement.</w:t>
      </w:r>
    </w:p>
    <w:p>
      <w:pPr>
        <w:pStyle w:val="Normal"/>
        <w:numPr>
          <w:ilvl w:val="0"/>
          <w:numId w:val="8"/>
        </w:numPr>
        <w:rPr/>
      </w:pPr>
      <w:r>
        <w:rPr/>
        <w:t>Each Friday, call Nelda Didychuck with MHEB at 204-474-3326, fax the checkout form to her at 204-474-4752, verbally compare our numbers, and resolve any differences.</w:t>
      </w:r>
    </w:p>
    <w:p>
      <w:pPr>
        <w:pStyle w:val="Normal"/>
        <w:rPr/>
      </w:pPr>
      <w:r>
        <w:rPr/>
      </w:r>
    </w:p>
    <w:p>
      <w:pPr>
        <w:pStyle w:val="Heading1"/>
        <w:ind w:hanging="0" w:start="0"/>
        <w:rPr/>
      </w:pPr>
      <w:r>
        <w:rPr/>
        <w:t>Ideas for Moving Power</w:t>
      </w:r>
    </w:p>
    <w:p>
      <w:pPr>
        <w:pStyle w:val="Normal"/>
        <w:rPr>
          <w:b/>
          <w:bCs/>
          <w:u w:val="single"/>
        </w:rPr>
      </w:pPr>
      <w:r>
        <w:rPr>
          <w:b/>
          <w:bCs/>
          <w:u w:val="single"/>
        </w:rPr>
      </w:r>
    </w:p>
    <w:p>
      <w:pPr>
        <w:pStyle w:val="Normal"/>
        <w:numPr>
          <w:ilvl w:val="0"/>
          <w:numId w:val="3"/>
        </w:numPr>
        <w:rPr>
          <w:b/>
          <w:bCs/>
          <w:u w:val="single"/>
        </w:rPr>
      </w:pPr>
      <w:r>
        <w:rPr/>
        <w:t>Although it is assumed that MHEB is adequately covering MAPP, this may not always be the case.  You may occasionally sell to another MAPP member.</w:t>
      </w:r>
    </w:p>
    <w:p>
      <w:pPr>
        <w:pStyle w:val="Normal"/>
        <w:numPr>
          <w:ilvl w:val="0"/>
          <w:numId w:val="3"/>
        </w:numPr>
        <w:rPr>
          <w:b/>
          <w:bCs/>
          <w:u w:val="single"/>
        </w:rPr>
      </w:pPr>
      <w:r>
        <w:rPr/>
        <w:t>Each morning, inform Matt, our next-day MAPP trader, what pre-schedules MHEB is offering.  We may have the chance to sell something to Short-Term MAPP.</w:t>
      </w:r>
    </w:p>
    <w:p>
      <w:pPr>
        <w:pStyle w:val="Normal"/>
        <w:numPr>
          <w:ilvl w:val="0"/>
          <w:numId w:val="3"/>
        </w:numPr>
        <w:rPr>
          <w:b/>
          <w:bCs/>
          <w:u w:val="single"/>
        </w:rPr>
      </w:pPr>
      <w:r>
        <w:rPr/>
        <w:t>Each morning, inform Laura Podurgiel what pre-schedules MHEB is offering. She may be able to move something with her next-day contacts.</w:t>
      </w:r>
    </w:p>
    <w:p>
      <w:pPr>
        <w:pStyle w:val="Normal"/>
        <w:numPr>
          <w:ilvl w:val="0"/>
          <w:numId w:val="3"/>
        </w:numPr>
        <w:rPr>
          <w:b/>
          <w:bCs/>
          <w:u w:val="single"/>
        </w:rPr>
      </w:pPr>
      <w:r>
        <w:rPr/>
        <w:t>When looking for a market, it is a good idea to check first with the MAPP border companies (e.g. AMRN, AECI, EES), hourly and next-day.  A partial list of next-day contacts may be found at M:Eservices/Manitoba/MHEBPhoneList-NextDay.</w:t>
      </w:r>
    </w:p>
    <w:p>
      <w:pPr>
        <w:pStyle w:val="Normal"/>
        <w:numPr>
          <w:ilvl w:val="0"/>
          <w:numId w:val="3"/>
        </w:numPr>
        <w:rPr>
          <w:b/>
          <w:bCs/>
          <w:u w:val="single"/>
        </w:rPr>
      </w:pPr>
      <w:r>
        <w:rPr/>
        <w:t xml:space="preserve"> </w:t>
      </w:r>
      <w:r>
        <w:rPr/>
        <w:t xml:space="preserve">Actively communicate with Juan and Don to find hourly markets and/or to fill existing positions.  </w:t>
      </w:r>
    </w:p>
    <w:p>
      <w:pPr>
        <w:pStyle w:val="Normal"/>
        <w:numPr>
          <w:ilvl w:val="0"/>
          <w:numId w:val="3"/>
        </w:numPr>
        <w:rPr>
          <w:b/>
          <w:bCs/>
          <w:u w:val="single"/>
        </w:rPr>
      </w:pPr>
      <w:r>
        <w:rPr/>
        <w:t xml:space="preserve">We have had some good luck taking power to PJM, especially for HE 5 and 6 CDT.  Since MHEB usually allows us to take a partial off-peak schedule at the quoted off-peak price, we do not pay a  premium for these hours.  Therefore, it is often possible to make money these hours provided that the schedule is not cut.  You may do a full off-peak schedule depending on market conditions. </w:t>
      </w:r>
    </w:p>
    <w:p>
      <w:pPr>
        <w:pStyle w:val="Normal"/>
        <w:numPr>
          <w:ilvl w:val="0"/>
          <w:numId w:val="3"/>
        </w:numPr>
        <w:rPr>
          <w:b/>
          <w:bCs/>
          <w:u w:val="single"/>
        </w:rPr>
      </w:pPr>
      <w:r>
        <w:rPr/>
        <w:t>Note that MHEB will often include HE 7 and 8 at the off-peak price.  Beware of taking these hours to PJM as the on-peak transmission charges substantially increase your landed price.  Depending on market conditions, a good strategy may be to take HE1-6 to PJM and HE7-8 to a border company who will pay a premium for these two hours (e.g. AECI).</w:t>
      </w:r>
    </w:p>
    <w:p>
      <w:pPr>
        <w:pStyle w:val="Normal"/>
        <w:numPr>
          <w:ilvl w:val="0"/>
          <w:numId w:val="3"/>
        </w:numPr>
        <w:rPr>
          <w:b/>
          <w:bCs/>
          <w:u w:val="single"/>
        </w:rPr>
      </w:pPr>
      <w:r>
        <w:rPr/>
        <w:t>Market economics may occur where it is profitable to fill another Services deal (e.g. MDEA) with MHEB.  In this case, sell the power at the MHEB border to EPMI-MDEA-SVCE.</w:t>
      </w:r>
    </w:p>
    <w:p>
      <w:pPr>
        <w:pStyle w:val="Normal"/>
        <w:numPr>
          <w:ilvl w:val="0"/>
          <w:numId w:val="3"/>
        </w:numPr>
        <w:rPr>
          <w:b/>
          <w:bCs/>
          <w:u w:val="single"/>
        </w:rPr>
      </w:pPr>
      <w:r>
        <w:rPr/>
        <w:t>If  TLRs result in bad paths from MHEB to profitable markets, look into doing buy/resales with AECI or, inside of MAPP, MEC.</w:t>
      </w:r>
    </w:p>
    <w:p>
      <w:pPr>
        <w:pStyle w:val="Normal"/>
        <w:numPr>
          <w:ilvl w:val="0"/>
          <w:numId w:val="3"/>
        </w:numPr>
        <w:rPr>
          <w:b/>
          <w:bCs/>
          <w:u w:val="single"/>
        </w:rPr>
      </w:pPr>
      <w:r>
        <w:rPr/>
        <w:t xml:space="preserve">Check on OATI Web Sweep to see where other marketers (e.g. TNSK and CRGL) may be moving power.  </w:t>
      </w:r>
    </w:p>
    <w:p>
      <w:pPr>
        <w:pStyle w:val="Normal"/>
        <w:numPr>
          <w:ilvl w:val="0"/>
          <w:numId w:val="3"/>
        </w:numPr>
        <w:rPr/>
      </w:pPr>
      <w:r>
        <w:rPr/>
        <w:t>If a schedule flowing beyond a border company is cut (e.g. to SOCO), try reselling the power (if profitable) to the MAPP border company through which you brought the power.  For example, if you brought the power through KCPL.AMRN, try selling the power to AMRN because the MAPP-F that you have already paid for will show the sink as AMRN.  This is a convenient quirk of MAPP oasis requests.</w:t>
      </w:r>
    </w:p>
    <w:p>
      <w:pPr>
        <w:pStyle w:val="Normal"/>
        <w:numPr>
          <w:ilvl w:val="0"/>
          <w:numId w:val="3"/>
        </w:numPr>
        <w:rPr/>
      </w:pPr>
      <w:r>
        <w:rPr/>
        <w:t>Take advantage of any re-direct transmission that may be available (e.g. TVA).</w:t>
      </w:r>
    </w:p>
    <w:p>
      <w:pPr>
        <w:pStyle w:val="Normal"/>
        <w:rPr/>
      </w:pPr>
      <w:r>
        <w:rPr/>
      </w:r>
    </w:p>
    <w:p>
      <w:pPr>
        <w:pStyle w:val="Normal"/>
        <w:rPr/>
      </w:pPr>
      <w:r>
        <w:rPr/>
      </w:r>
    </w:p>
    <w:p>
      <w:pPr>
        <w:pStyle w:val="Normal"/>
        <w:rPr>
          <w:b/>
          <w:bCs/>
          <w:u w:val="single"/>
        </w:rPr>
      </w:pPr>
      <w:r>
        <w:rPr>
          <w:b/>
          <w:bCs/>
          <w:u w:val="single"/>
        </w:rPr>
      </w:r>
    </w:p>
    <w:p>
      <w:pPr>
        <w:pStyle w:val="Normal"/>
        <w:rPr>
          <w:b/>
          <w:bCs/>
          <w:u w:val="single"/>
        </w:rPr>
      </w:pPr>
      <w:r>
        <w:rPr>
          <w:b/>
          <w:bCs/>
          <w:u w:val="single"/>
        </w:rPr>
      </w:r>
    </w:p>
    <w:p>
      <w:pPr>
        <w:pStyle w:val="Normal"/>
        <w:rPr/>
      </w:pPr>
      <w:r>
        <w:rPr/>
      </w:r>
    </w:p>
    <w:p>
      <w:pPr>
        <w:pStyle w:val="Normal"/>
        <w:rPr>
          <w:b/>
          <w:bCs/>
        </w:rPr>
      </w:pPr>
      <w:r>
        <w:rPr>
          <w:b/>
          <w:bCs/>
        </w:rPr>
      </w:r>
    </w:p>
    <w:p>
      <w:pPr>
        <w:pStyle w:val="Normal"/>
        <w:rPr>
          <w:b/>
          <w:bCs/>
          <w:u w:val="single"/>
        </w:rPr>
      </w:pPr>
      <w:r>
        <w:rPr>
          <w:b/>
          <w:bCs/>
          <w:u w:val="single"/>
        </w:rPr>
      </w:r>
    </w:p>
    <w:p>
      <w:pPr>
        <w:pStyle w:val="Normal"/>
        <w:rPr>
          <w:b/>
          <w:bCs/>
          <w:u w:val="single"/>
        </w:rPr>
      </w:pPr>
      <w:r>
        <w:rPr>
          <w:b/>
          <w:bCs/>
          <w:u w:val="single"/>
        </w:rPr>
      </w:r>
    </w:p>
    <w:p>
      <w:pPr>
        <w:pStyle w:val="Normal"/>
        <w:rPr/>
      </w:pPr>
      <w:r>
        <w:rPr/>
        <w:t xml:space="preserve"> </w:t>
      </w:r>
    </w:p>
    <w:p>
      <w:pPr>
        <w:pStyle w:val="Normal"/>
        <w:rPr/>
      </w:pPr>
      <w:r>
        <w:rPr/>
      </w:r>
    </w:p>
    <w:p>
      <w:pPr>
        <w:pStyle w:val="Normal"/>
        <w:rPr/>
      </w:pPr>
      <w:r>
        <w:rPr/>
        <w:t xml:space="preserve"> </w:t>
      </w:r>
    </w:p>
    <w:p>
      <w:pPr>
        <w:pStyle w:val="Normal"/>
        <w:rPr/>
      </w:pPr>
      <w:r>
        <w:rPr/>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2001-09-04T15:48:00Z</dcterms:created>
  <dc:creator>jkinser</dc:creator>
  <dc:description/>
  <dc:language>en-CA</dc:language>
  <cp:lastModifiedBy>jkinser</cp:lastModifiedBy>
  <cp:lastPrinted>2001-09-04T13:10:00Z</cp:lastPrinted>
  <dcterms:modified xsi:type="dcterms:W3CDTF">2001-09-04T15:48:00Z</dcterms:modified>
  <cp:revision>2</cp:revision>
  <dc:subject/>
  <dc:title>Manitoba Hydro Services Deal - Procedures</dc:title>
</cp:coreProperties>
</file>