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24"/>
        </w:rPr>
      </w:pPr>
      <w:r>
        <w:rPr>
          <w:rFonts w:cs="Times New Roman" w:ascii="Times New Roman" w:hAnsi="Times New Roman"/>
          <w:sz w:val="24"/>
        </w:rPr>
        <w:t>DRAFT</w:t>
      </w:r>
    </w:p>
    <w:p>
      <w:pPr>
        <w:pStyle w:val="Normal"/>
        <w:widowControl/>
        <w:jc w:val="center"/>
        <w:rPr>
          <w:rFonts w:ascii="Times New Roman" w:hAnsi="Times New Roman" w:cs="Times New Roman"/>
          <w:b/>
          <w:sz w:val="24"/>
        </w:rPr>
      </w:pPr>
      <w:r>
        <w:rPr>
          <w:rFonts w:cs="Times New Roman" w:ascii="Times New Roman" w:hAnsi="Times New Roman"/>
          <w:b/>
          <w:sz w:val="24"/>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May ___,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r>
        <w:br w:type="page"/>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TABLE OF CONTENTS</w:t>
      </w:r>
    </w:p>
    <w:sdt>
      <w:sdtPr>
        <w:docPartObj>
          <w:docPartGallery w:val="Table of Contents"/>
          <w:docPartUnique w:val="true"/>
        </w:docPartObj>
      </w:sdtPr>
      <w:sdtContent>
        <w:p>
          <w:pPr>
            <w:pStyle w:val="TOC1"/>
            <w:tabs>
              <w:tab w:val="left" w:pos="0" w:leader="none"/>
              <w:tab w:val="left" w:pos="720" w:leader="none"/>
              <w:tab w:val="left" w:pos="1440" w:leader="none"/>
              <w:tab w:val="right" w:pos="9350" w:leader="dot"/>
            </w:tabs>
            <w:rPr>
              <w:lang w:val="en-CA" w:eastAsia="en-CA"/>
            </w:rPr>
          </w:pPr>
          <w:r>
            <w:fldChar w:fldCharType="begin"/>
          </w:r>
          <w:r>
            <w:rPr>
              <w:b w:val="false"/>
              <w:lang w:val="en-CA" w:eastAsia="en-CA"/>
            </w:rPr>
            <w:instrText xml:space="preserve">TOC \f</w:instrText>
          </w:r>
          <w:r>
            <w:rPr>
              <w:b w:val="false"/>
              <w:lang w:val="en-CA" w:eastAsia="en-CA"/>
            </w:rPr>
            <w:fldChar w:fldCharType="separate"/>
          </w:r>
          <w:r>
            <w:rPr>
              <w:b w:val="false"/>
              <w:lang w:val="en-CA" w:eastAsia="en-CA"/>
            </w:rPr>
            <w:t>ARTICLE 1.</w:t>
          </w:r>
          <w:r>
            <w:rPr>
              <w:lang w:val="en-CA" w:eastAsia="en-CA"/>
            </w:rPr>
            <w:tab/>
          </w:r>
          <w:r>
            <w:rPr>
              <w:b w:val="false"/>
              <w:lang w:val="en-CA" w:eastAsia="en-CA"/>
            </w:rPr>
            <w:t>DEFINITIONS</w:t>
          </w:r>
          <w:r>
            <w:rPr>
              <w:lang w:val="en-CA" w:eastAsia="en-CA"/>
            </w:rPr>
            <w:tab/>
          </w:r>
          <w:hyperlink w:anchor="__RefHeading___Toc458395889">
            <w:r>
              <w:rPr>
                <w:rStyle w:val="IndexLink"/>
                <w:lang w:val="en-CA" w:eastAsia="en-CA"/>
              </w:rPr>
              <w:t>4</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2.</w:t>
          </w:r>
          <w:r>
            <w:rPr>
              <w:lang w:val="en-CA" w:eastAsia="en-CA"/>
            </w:rPr>
            <w:tab/>
          </w:r>
          <w:r>
            <w:rPr>
              <w:b w:val="false"/>
              <w:lang w:val="en-CA" w:eastAsia="en-CA"/>
            </w:rPr>
            <w:t>TERMS AND CONDITIONS</w:t>
          </w:r>
          <w:r>
            <w:rPr>
              <w:lang w:val="en-CA" w:eastAsia="en-CA"/>
            </w:rPr>
            <w:tab/>
          </w:r>
          <w:hyperlink w:anchor="__RefHeading___Toc458395890">
            <w:r>
              <w:rPr>
                <w:rStyle w:val="IndexLink"/>
                <w:lang w:val="en-CA" w:eastAsia="en-CA"/>
              </w:rPr>
              <w:t>10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2.1</w:t>
            <w:tab/>
          </w:r>
          <w:r>
            <w:rPr>
              <w:sz w:val="24"/>
              <w:u w:val="single"/>
              <w:lang w:val="en-CA" w:eastAsia="en-CA"/>
            </w:rPr>
            <w:t>Assignment of Certain Contracts</w:t>
          </w:r>
          <w:r>
            <w:rPr>
              <w:sz w:val="24"/>
              <w:lang w:val="en-CA" w:eastAsia="en-CA"/>
            </w:rPr>
            <w:tab/>
          </w:r>
          <w:hyperlink w:anchor="__RefHeading___Toc458395891">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2.2</w:t>
            <w:tab/>
          </w:r>
          <w:r>
            <w:rPr>
              <w:sz w:val="24"/>
              <w:u w:val="single"/>
              <w:lang w:val="en-CA" w:eastAsia="en-CA"/>
            </w:rPr>
            <w:t>Agency for Certain Contracts</w:t>
          </w:r>
          <w:r>
            <w:rPr>
              <w:sz w:val="24"/>
              <w:lang w:val="en-CA" w:eastAsia="en-CA"/>
            </w:rPr>
            <w:tab/>
          </w:r>
          <w:hyperlink w:anchor="__RefHeading___Toc458395892">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2.3</w:t>
            <w:tab/>
          </w:r>
          <w:r>
            <w:rPr>
              <w:sz w:val="24"/>
              <w:u w:val="single"/>
              <w:lang w:val="en-CA" w:eastAsia="en-CA"/>
            </w:rPr>
            <w:t>Assumption of Liabilities</w:t>
          </w:r>
          <w:r>
            <w:rPr>
              <w:sz w:val="24"/>
              <w:lang w:val="en-CA" w:eastAsia="en-CA"/>
            </w:rPr>
            <w:tab/>
          </w:r>
          <w:hyperlink w:anchor="__RefHeading___Toc458395893">
            <w:r>
              <w:rPr>
                <w:rStyle w:val="IndexLink"/>
                <w:sz w:val="24"/>
                <w:lang w:val="en-CA" w:eastAsia="en-CA"/>
              </w:rPr>
              <w:t>10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2.4</w:t>
            <w:tab/>
          </w:r>
          <w:r>
            <w:rPr>
              <w:sz w:val="24"/>
              <w:u w:val="single"/>
              <w:lang w:val="en-CA" w:eastAsia="en-CA"/>
            </w:rPr>
            <w:t>Reimbursement of Certain Charges</w:t>
          </w:r>
          <w:r>
            <w:rPr>
              <w:sz w:val="24"/>
              <w:lang w:val="en-CA" w:eastAsia="en-CA"/>
            </w:rPr>
            <w:tab/>
          </w:r>
          <w:hyperlink w:anchor="__RefHeading___Toc458395894">
            <w:r>
              <w:rPr>
                <w:rStyle w:val="IndexLink"/>
                <w:sz w:val="24"/>
                <w:lang w:val="en-CA" w:eastAsia="en-CA"/>
              </w:rPr>
              <w:t>10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2.5</w:t>
            <w:tab/>
          </w:r>
          <w:r>
            <w:rPr>
              <w:sz w:val="24"/>
              <w:u w:val="single"/>
              <w:lang w:val="en-CA" w:eastAsia="en-CA"/>
            </w:rPr>
            <w:t>Term</w:t>
          </w:r>
          <w:r>
            <w:rPr>
              <w:sz w:val="24"/>
              <w:lang w:val="en-CA" w:eastAsia="en-CA"/>
            </w:rPr>
            <w:tab/>
          </w:r>
          <w:hyperlink w:anchor="__RefHeading___Toc458395895">
            <w:r>
              <w:rPr>
                <w:rStyle w:val="IndexLink"/>
                <w:sz w:val="24"/>
                <w:lang w:val="en-CA" w:eastAsia="en-CA"/>
              </w:rPr>
              <w:t>10</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3.</w:t>
          </w:r>
          <w:r>
            <w:rPr>
              <w:lang w:val="en-CA" w:eastAsia="en-CA"/>
            </w:rPr>
            <w:tab/>
          </w:r>
          <w:r>
            <w:rPr>
              <w:b w:val="false"/>
              <w:lang w:val="en-CA" w:eastAsia="en-CA"/>
            </w:rPr>
            <w:t>AGREEMENTS</w:t>
          </w:r>
          <w:r>
            <w:rPr>
              <w:lang w:val="en-CA" w:eastAsia="en-CA"/>
            </w:rPr>
            <w:tab/>
          </w:r>
          <w:hyperlink w:anchor="__RefHeading___Toc458395896">
            <w:r>
              <w:rPr>
                <w:rStyle w:val="IndexLink"/>
                <w:lang w:val="en-CA" w:eastAsia="en-CA"/>
              </w:rPr>
              <w:t>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3.1</w:t>
            <w:tab/>
          </w:r>
          <w:r>
            <w:rPr>
              <w:sz w:val="24"/>
              <w:u w:val="single"/>
              <w:lang w:val="en-CA" w:eastAsia="en-CA"/>
            </w:rPr>
            <w:t>Preservation of Supply Assets</w:t>
          </w:r>
          <w:r>
            <w:rPr>
              <w:sz w:val="24"/>
              <w:lang w:val="en-CA" w:eastAsia="en-CA"/>
            </w:rPr>
            <w:tab/>
          </w:r>
          <w:hyperlink w:anchor="__RefHeading___Toc458395897">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3.2</w:t>
            <w:tab/>
          </w:r>
          <w:r>
            <w:rPr>
              <w:sz w:val="24"/>
              <w:u w:val="single"/>
              <w:lang w:val="en-CA" w:eastAsia="en-CA"/>
            </w:rPr>
            <w:t>ENA's Rights and Obligations under the Transportation Contracts</w:t>
          </w:r>
          <w:r>
            <w:rPr>
              <w:sz w:val="24"/>
              <w:lang w:val="en-CA" w:eastAsia="en-CA"/>
            </w:rPr>
            <w:tab/>
          </w:r>
          <w:hyperlink w:anchor="__RefHeading___Toc458395898">
            <w:r>
              <w:rPr>
                <w:rStyle w:val="IndexLink"/>
                <w:sz w:val="24"/>
                <w:lang w:val="en-CA" w:eastAsia="en-CA"/>
              </w:rPr>
              <w:t>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3.3</w:t>
            <w:tab/>
          </w:r>
          <w:r>
            <w:rPr>
              <w:sz w:val="24"/>
              <w:u w:val="single"/>
              <w:lang w:val="en-CA" w:eastAsia="en-CA"/>
            </w:rPr>
            <w:t>Customer's Rights and Obligations under the Transportation Contracts</w:t>
          </w:r>
          <w:r>
            <w:rPr>
              <w:sz w:val="24"/>
              <w:lang w:val="en-CA" w:eastAsia="en-CA"/>
            </w:rPr>
            <w:tab/>
          </w:r>
          <w:hyperlink w:anchor="__RefHeading___Toc458395899">
            <w:r>
              <w:rPr>
                <w:rStyle w:val="IndexLink"/>
                <w:sz w:val="24"/>
                <w:lang w:val="en-CA" w:eastAsia="en-CA"/>
              </w:rPr>
              <w:t>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3.4</w:t>
            <w:tab/>
          </w:r>
          <w:r>
            <w:rPr>
              <w:sz w:val="24"/>
              <w:u w:val="single"/>
              <w:lang w:val="en-CA" w:eastAsia="en-CA"/>
            </w:rPr>
            <w:t>Resales under the Gas Supply Contracts</w:t>
          </w:r>
          <w:r>
            <w:rPr>
              <w:sz w:val="24"/>
              <w:lang w:val="en-CA" w:eastAsia="en-CA"/>
            </w:rPr>
            <w:tab/>
          </w:r>
          <w:hyperlink w:anchor="__RefHeading___Toc458395900">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3.5</w:t>
            <w:tab/>
          </w:r>
          <w:r>
            <w:rPr>
              <w:sz w:val="24"/>
              <w:u w:val="single"/>
              <w:lang w:val="en-CA" w:eastAsia="en-CA"/>
            </w:rPr>
            <w:t>Amendments and Waivers of Supply Contracts</w:t>
          </w:r>
          <w:r>
            <w:rPr>
              <w:sz w:val="24"/>
              <w:lang w:val="en-CA" w:eastAsia="en-CA"/>
            </w:rPr>
            <w:tab/>
          </w:r>
          <w:hyperlink w:anchor="__RefHeading___Toc458395901">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3.6</w:t>
            <w:tab/>
          </w:r>
          <w:r>
            <w:rPr>
              <w:sz w:val="24"/>
              <w:u w:val="single"/>
              <w:lang w:val="en-CA" w:eastAsia="en-CA"/>
            </w:rPr>
            <w:t>New Contracts</w:t>
          </w:r>
          <w:r>
            <w:rPr>
              <w:sz w:val="24"/>
              <w:lang w:val="en-CA" w:eastAsia="en-CA"/>
            </w:rPr>
            <w:tab/>
          </w:r>
          <w:hyperlink w:anchor="__RefHeading___Toc458395902">
            <w:r>
              <w:rPr>
                <w:rStyle w:val="IndexLink"/>
                <w:sz w:val="24"/>
                <w:lang w:val="en-CA" w:eastAsia="en-CA"/>
              </w:rPr>
              <w:t>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3.7</w:t>
            <w:tab/>
          </w:r>
          <w:r>
            <w:rPr>
              <w:sz w:val="24"/>
              <w:u w:val="single"/>
              <w:lang w:val="en-CA" w:eastAsia="en-CA"/>
            </w:rPr>
            <w:t>Customer Reporting Requirements</w:t>
          </w:r>
          <w:r>
            <w:rPr>
              <w:sz w:val="24"/>
              <w:lang w:val="en-CA" w:eastAsia="en-CA"/>
            </w:rPr>
            <w:tab/>
          </w:r>
          <w:hyperlink w:anchor="__RefHeading___Toc458395903">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3.8</w:t>
            <w:tab/>
          </w:r>
          <w:r>
            <w:rPr>
              <w:sz w:val="24"/>
              <w:u w:val="single"/>
              <w:lang w:val="en-CA" w:eastAsia="en-CA"/>
            </w:rPr>
            <w:t>Cooperation</w:t>
          </w:r>
          <w:r>
            <w:rPr>
              <w:sz w:val="24"/>
              <w:lang w:val="en-CA" w:eastAsia="en-CA"/>
            </w:rPr>
            <w:tab/>
          </w:r>
          <w:hyperlink w:anchor="__RefHeading___Toc458395904">
            <w:r>
              <w:rPr>
                <w:rStyle w:val="IndexLink"/>
                <w:sz w:val="24"/>
                <w:lang w:val="en-CA" w:eastAsia="en-CA"/>
              </w:rPr>
              <w:t>9</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4.</w:t>
          </w:r>
          <w:r>
            <w:rPr>
              <w:lang w:val="en-CA" w:eastAsia="en-CA"/>
            </w:rPr>
            <w:tab/>
          </w:r>
          <w:r>
            <w:rPr>
              <w:b w:val="false"/>
              <w:lang w:val="en-CA" w:eastAsia="en-CA"/>
            </w:rPr>
            <w:t>CONDITIONS PRECEDENT</w:t>
          </w:r>
          <w:r>
            <w:rPr>
              <w:lang w:val="en-CA" w:eastAsia="en-CA"/>
            </w:rPr>
            <w:tab/>
          </w:r>
          <w:hyperlink w:anchor="__RefHeading___Toc458395905">
            <w:r>
              <w:rPr>
                <w:rStyle w:val="IndexLink"/>
                <w:b w:val="false"/>
                <w:bCs/>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4.1</w:t>
            <w:tab/>
          </w:r>
          <w:r>
            <w:rPr>
              <w:sz w:val="24"/>
              <w:u w:val="single"/>
              <w:lang w:val="en-CA" w:eastAsia="en-CA"/>
            </w:rPr>
            <w:t>Representations and Warranties</w:t>
          </w:r>
          <w:r>
            <w:rPr>
              <w:sz w:val="24"/>
              <w:lang w:val="en-CA" w:eastAsia="en-CA"/>
            </w:rPr>
            <w:tab/>
          </w:r>
          <w:hyperlink w:anchor="__RefHeading___Toc458395906">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4.2</w:t>
            <w:tab/>
          </w:r>
          <w:r>
            <w:rPr>
              <w:sz w:val="24"/>
              <w:u w:val="single"/>
              <w:lang w:val="en-CA" w:eastAsia="en-CA"/>
            </w:rPr>
            <w:t>Supply Assets</w:t>
          </w:r>
          <w:r>
            <w:rPr>
              <w:sz w:val="24"/>
              <w:lang w:val="en-CA" w:eastAsia="en-CA"/>
            </w:rPr>
            <w:tab/>
          </w:r>
          <w:hyperlink w:anchor="__RefHeading___Toc458395907">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4.3</w:t>
            <w:tab/>
          </w:r>
          <w:r>
            <w:rPr>
              <w:sz w:val="24"/>
              <w:u w:val="single"/>
              <w:lang w:val="en-CA" w:eastAsia="en-CA"/>
            </w:rPr>
            <w:t>No Proceedings or Litigation</w:t>
          </w:r>
          <w:r>
            <w:rPr>
              <w:sz w:val="24"/>
              <w:lang w:val="en-CA" w:eastAsia="en-CA"/>
            </w:rPr>
            <w:tab/>
          </w:r>
          <w:hyperlink w:anchor="__RefHeading___Toc458395908">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4.4</w:t>
            <w:tab/>
          </w:r>
          <w:r>
            <w:rPr>
              <w:sz w:val="24"/>
              <w:u w:val="single"/>
              <w:lang w:val="en-CA" w:eastAsia="en-CA"/>
            </w:rPr>
            <w:t>Regulatory Authorizations</w:t>
          </w:r>
          <w:r>
            <w:rPr>
              <w:sz w:val="24"/>
              <w:lang w:val="en-CA" w:eastAsia="en-CA"/>
            </w:rPr>
            <w:tab/>
          </w:r>
          <w:hyperlink w:anchor="__RefHeading___Toc458395909">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4.5</w:t>
            <w:tab/>
          </w:r>
          <w:r>
            <w:rPr>
              <w:sz w:val="24"/>
              <w:u w:val="single"/>
              <w:lang w:val="en-CA" w:eastAsia="en-CA"/>
            </w:rPr>
            <w:t>No Material Adverse Change</w:t>
          </w:r>
          <w:r>
            <w:rPr>
              <w:sz w:val="24"/>
              <w:lang w:val="en-CA" w:eastAsia="en-CA"/>
            </w:rPr>
            <w:tab/>
          </w:r>
          <w:hyperlink w:anchor="__RefHeading___Toc458395910">
            <w:r>
              <w:rPr>
                <w:rStyle w:val="IndexLink"/>
                <w:b w:val="false"/>
                <w:bCs/>
                <w:sz w:val="24"/>
                <w:lang w:val="en-CA" w:eastAsia="en-CA"/>
              </w:rPr>
              <w:t>Error! Bookmark not defined.</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4.6</w:t>
            <w:tab/>
          </w:r>
          <w:r>
            <w:rPr>
              <w:sz w:val="24"/>
              <w:u w:val="single"/>
              <w:lang w:val="en-CA" w:eastAsia="en-CA"/>
            </w:rPr>
            <w:t>Failure of Conditions Precedent</w:t>
          </w:r>
          <w:r>
            <w:rPr>
              <w:sz w:val="24"/>
              <w:lang w:val="en-CA" w:eastAsia="en-CA"/>
            </w:rPr>
            <w:tab/>
          </w:r>
          <w:hyperlink w:anchor="__RefHeading___Toc458395911">
            <w:r>
              <w:rPr>
                <w:rStyle w:val="IndexLink"/>
                <w:b w:val="false"/>
                <w:bCs/>
                <w:sz w:val="24"/>
                <w:lang w:val="en-CA" w:eastAsia="en-CA"/>
              </w:rPr>
              <w:t>Error! Bookmark not defined.</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5.</w:t>
          </w:r>
          <w:r>
            <w:rPr>
              <w:lang w:val="en-CA" w:eastAsia="en-CA"/>
            </w:rPr>
            <w:tab/>
          </w:r>
          <w:r>
            <w:rPr>
              <w:b w:val="false"/>
              <w:lang w:val="en-CA" w:eastAsia="en-CA"/>
            </w:rPr>
            <w:t>REPRESENTATIONS, WARRANTIES AND ACKNOWLEDGMENTS</w:t>
          </w:r>
          <w:r>
            <w:rPr>
              <w:lang w:val="en-CA" w:eastAsia="en-CA"/>
            </w:rPr>
            <w:tab/>
          </w:r>
          <w:hyperlink w:anchor="__RefHeading___Toc458395912">
            <w:r>
              <w:rPr>
                <w:rStyle w:val="IndexLink"/>
                <w:lang w:val="en-CA" w:eastAsia="en-CA"/>
              </w:rPr>
              <w:t>11</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5.1</w:t>
            <w:tab/>
          </w:r>
          <w:r>
            <w:rPr>
              <w:sz w:val="24"/>
              <w:u w:val="single"/>
              <w:lang w:val="en-CA" w:eastAsia="en-CA"/>
            </w:rPr>
            <w:t>Customer</w:t>
          </w:r>
          <w:r>
            <w:rPr>
              <w:sz w:val="24"/>
              <w:lang w:val="en-CA" w:eastAsia="en-CA"/>
            </w:rPr>
            <w:tab/>
          </w:r>
          <w:hyperlink w:anchor="__RefHeading___Toc458395913">
            <w:r>
              <w:rPr>
                <w:rStyle w:val="IndexLink"/>
                <w:sz w:val="24"/>
                <w:lang w:val="en-CA" w:eastAsia="en-CA"/>
              </w:rPr>
              <w:t>11</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5.2</w:t>
            <w:tab/>
          </w:r>
          <w:r>
            <w:rPr>
              <w:sz w:val="24"/>
              <w:u w:val="single"/>
              <w:lang w:val="en-CA" w:eastAsia="en-CA"/>
            </w:rPr>
            <w:t>ENA</w:t>
          </w:r>
          <w:r>
            <w:rPr>
              <w:sz w:val="24"/>
              <w:lang w:val="en-CA" w:eastAsia="en-CA"/>
            </w:rPr>
            <w:t>...............................................................................................................................................</w:t>
          </w:r>
          <w:hyperlink w:anchor="__RefHeading___Toc458395914">
            <w:r>
              <w:rPr>
                <w:rStyle w:val="IndexLink"/>
                <w:sz w:val="24"/>
                <w:lang w:val="en-CA" w:eastAsia="en-CA"/>
              </w:rPr>
              <w:t>12</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5.3</w:t>
            <w:tab/>
          </w:r>
          <w:r>
            <w:rPr>
              <w:sz w:val="24"/>
              <w:u w:val="single"/>
              <w:lang w:val="en-CA" w:eastAsia="en-CA"/>
            </w:rPr>
            <w:t>Acknowledgments</w:t>
          </w:r>
          <w:r>
            <w:rPr>
              <w:sz w:val="24"/>
              <w:lang w:val="en-CA" w:eastAsia="en-CA"/>
            </w:rPr>
            <w:tab/>
          </w:r>
          <w:hyperlink w:anchor="__RefHeading___Toc458395915">
            <w:r>
              <w:rPr>
                <w:rStyle w:val="IndexLink"/>
                <w:sz w:val="24"/>
                <w:lang w:val="en-CA" w:eastAsia="en-CA"/>
              </w:rPr>
              <w:t>13</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6.</w:t>
          </w:r>
          <w:r>
            <w:rPr>
              <w:lang w:val="en-CA" w:eastAsia="en-CA"/>
            </w:rPr>
            <w:tab/>
          </w:r>
          <w:r>
            <w:rPr>
              <w:b w:val="false"/>
              <w:lang w:val="en-CA" w:eastAsia="en-CA"/>
            </w:rPr>
            <w:t>TERMINATION OF AGREEMENT</w:t>
          </w:r>
          <w:r>
            <w:rPr>
              <w:lang w:val="en-CA" w:eastAsia="en-CA"/>
            </w:rPr>
            <w:tab/>
          </w:r>
          <w:hyperlink w:anchor="__RefHeading___Toc458395916">
            <w:r>
              <w:rPr>
                <w:rStyle w:val="IndexLink"/>
                <w:lang w:val="en-CA" w:eastAsia="en-CA"/>
              </w:rPr>
              <w:t>14</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6.1</w:t>
            <w:tab/>
          </w:r>
          <w:r>
            <w:rPr>
              <w:sz w:val="24"/>
              <w:u w:val="single"/>
              <w:lang w:val="en-CA" w:eastAsia="en-CA"/>
            </w:rPr>
            <w:t>Early Termination</w:t>
          </w:r>
          <w:r>
            <w:rPr>
              <w:sz w:val="24"/>
              <w:lang w:val="en-CA" w:eastAsia="en-CA"/>
            </w:rPr>
            <w:tab/>
          </w:r>
          <w:hyperlink w:anchor="__RefHeading___Toc458395917">
            <w:r>
              <w:rPr>
                <w:rStyle w:val="IndexLink"/>
                <w:sz w:val="24"/>
                <w:lang w:val="en-CA" w:eastAsia="en-CA"/>
              </w:rPr>
              <w:t>14</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6.2</w:t>
            <w:tab/>
          </w:r>
          <w:r>
            <w:rPr>
              <w:sz w:val="24"/>
              <w:u w:val="single"/>
              <w:lang w:val="en-CA" w:eastAsia="en-CA"/>
            </w:rPr>
            <w:t>Remedies for Breach</w:t>
          </w:r>
          <w:r>
            <w:rPr>
              <w:sz w:val="24"/>
              <w:lang w:val="en-CA" w:eastAsia="en-CA"/>
            </w:rPr>
            <w:tab/>
          </w:r>
          <w:hyperlink w:anchor="__RefHeading___Toc458395918">
            <w:r>
              <w:rPr>
                <w:rStyle w:val="IndexLink"/>
                <w:sz w:val="24"/>
                <w:lang w:val="en-CA" w:eastAsia="en-CA"/>
              </w:rPr>
              <w:t>15</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6.3</w:t>
            <w:tab/>
          </w:r>
          <w:r>
            <w:rPr>
              <w:sz w:val="24"/>
              <w:u w:val="single"/>
              <w:lang w:val="en-CA" w:eastAsia="en-CA"/>
            </w:rPr>
            <w:t>Winding Up</w:t>
          </w:r>
          <w:r>
            <w:rPr>
              <w:sz w:val="24"/>
              <w:lang w:val="en-CA" w:eastAsia="en-CA"/>
            </w:rPr>
            <w:tab/>
          </w:r>
          <w:hyperlink w:anchor="__RefHeading___Toc458395919">
            <w:r>
              <w:rPr>
                <w:rStyle w:val="IndexLink"/>
                <w:sz w:val="24"/>
                <w:lang w:val="en-CA" w:eastAsia="en-CA"/>
              </w:rPr>
              <w:t>16</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7.</w:t>
          </w:r>
          <w:r>
            <w:rPr>
              <w:lang w:val="en-CA" w:eastAsia="en-CA"/>
            </w:rPr>
            <w:tab/>
          </w:r>
          <w:r>
            <w:rPr>
              <w:b w:val="false"/>
              <w:lang w:val="en-CA" w:eastAsia="en-CA"/>
            </w:rPr>
            <w:t>INDEMNIFICATION</w:t>
          </w:r>
          <w:r>
            <w:rPr>
              <w:lang w:val="en-CA" w:eastAsia="en-CA"/>
            </w:rPr>
            <w:tab/>
          </w:r>
          <w:hyperlink w:anchor="__RefHeading___Toc458395920">
            <w:r>
              <w:rPr>
                <w:rStyle w:val="IndexLink"/>
                <w:lang w:val="en-CA" w:eastAsia="en-CA"/>
              </w:rPr>
              <w:t>16</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7.1</w:t>
            <w:tab/>
          </w:r>
          <w:r>
            <w:rPr>
              <w:sz w:val="24"/>
              <w:u w:val="single"/>
              <w:lang w:val="en-CA" w:eastAsia="en-CA"/>
            </w:rPr>
            <w:t>Indemnification Obligations of Customer</w:t>
          </w:r>
          <w:r>
            <w:rPr>
              <w:sz w:val="24"/>
              <w:lang w:val="en-CA" w:eastAsia="en-CA"/>
            </w:rPr>
            <w:tab/>
          </w:r>
          <w:hyperlink w:anchor="__RefHeading___Toc458395921">
            <w:r>
              <w:rPr>
                <w:rStyle w:val="IndexLink"/>
                <w:sz w:val="24"/>
                <w:lang w:val="en-CA" w:eastAsia="en-CA"/>
              </w:rPr>
              <w:t>16</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7.2</w:t>
            <w:tab/>
          </w:r>
          <w:r>
            <w:rPr>
              <w:sz w:val="24"/>
              <w:u w:val="single"/>
              <w:lang w:val="en-CA" w:eastAsia="en-CA"/>
            </w:rPr>
            <w:t>Indemnification Obligations of ENA</w:t>
          </w:r>
          <w:r>
            <w:rPr>
              <w:sz w:val="24"/>
              <w:lang w:val="en-CA" w:eastAsia="en-CA"/>
            </w:rPr>
            <w:tab/>
          </w:r>
          <w:hyperlink w:anchor="__RefHeading___Toc458395922">
            <w:r>
              <w:rPr>
                <w:rStyle w:val="IndexLink"/>
                <w:sz w:val="24"/>
                <w:lang w:val="en-CA" w:eastAsia="en-CA"/>
              </w:rPr>
              <w:t>16</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7.3</w:t>
            <w:tab/>
          </w:r>
          <w:r>
            <w:rPr>
              <w:sz w:val="24"/>
              <w:u w:val="single"/>
              <w:lang w:val="en-CA" w:eastAsia="en-CA"/>
            </w:rPr>
            <w:t>Third Party Claims</w:t>
          </w:r>
          <w:r>
            <w:rPr>
              <w:sz w:val="24"/>
              <w:lang w:val="en-CA" w:eastAsia="en-CA"/>
            </w:rPr>
            <w:tab/>
          </w:r>
          <w:hyperlink w:anchor="__RefHeading___Toc458395923">
            <w:r>
              <w:rPr>
                <w:rStyle w:val="IndexLink"/>
                <w:sz w:val="24"/>
                <w:lang w:val="en-CA" w:eastAsia="en-CA"/>
              </w:rPr>
              <w:t>16</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7.4</w:t>
            <w:tab/>
          </w:r>
          <w:r>
            <w:rPr>
              <w:sz w:val="24"/>
              <w:u w:val="single"/>
              <w:lang w:val="en-CA" w:eastAsia="en-CA"/>
            </w:rPr>
            <w:t>No Consequential Damages</w:t>
          </w:r>
          <w:r>
            <w:rPr>
              <w:sz w:val="24"/>
              <w:lang w:val="en-CA" w:eastAsia="en-CA"/>
            </w:rPr>
            <w:tab/>
          </w:r>
          <w:hyperlink w:anchor="__RefHeading___Toc458395924">
            <w:r>
              <w:rPr>
                <w:rStyle w:val="IndexLink"/>
                <w:sz w:val="24"/>
                <w:lang w:val="en-CA" w:eastAsia="en-CA"/>
              </w:rPr>
              <w:t>17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7.5</w:t>
            <w:tab/>
          </w:r>
          <w:r>
            <w:rPr>
              <w:sz w:val="24"/>
              <w:u w:val="single"/>
              <w:lang w:val="en-CA" w:eastAsia="en-CA"/>
            </w:rPr>
            <w:t>Survival</w:t>
          </w:r>
          <w:r>
            <w:rPr>
              <w:sz w:val="24"/>
              <w:lang w:val="en-CA" w:eastAsia="en-CA"/>
            </w:rPr>
            <w:tab/>
          </w:r>
          <w:hyperlink w:anchor="__RefHeading___Toc458395925">
            <w:r>
              <w:rPr>
                <w:rStyle w:val="IndexLink"/>
                <w:sz w:val="24"/>
                <w:lang w:val="en-CA" w:eastAsia="en-CA"/>
              </w:rPr>
              <w:t>17</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8. CONFIDENTIALITY</w:t>
          </w:r>
          <w:r>
            <w:rPr>
              <w:lang w:val="en-CA" w:eastAsia="en-CA"/>
            </w:rPr>
            <w:tab/>
          </w:r>
          <w:hyperlink w:anchor="__RefHeading___Toc458395926">
            <w:r>
              <w:rPr>
                <w:rStyle w:val="IndexLink"/>
                <w:lang w:val="en-CA" w:eastAsia="en-CA"/>
              </w:rPr>
              <w:t>17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8.1</w:t>
            <w:tab/>
          </w:r>
          <w:r>
            <w:rPr>
              <w:sz w:val="24"/>
              <w:u w:val="single"/>
              <w:lang w:val="en-CA" w:eastAsia="en-CA"/>
            </w:rPr>
            <w:t>Confidentiality; Public Statements</w:t>
          </w:r>
          <w:r>
            <w:rPr>
              <w:sz w:val="24"/>
              <w:lang w:val="en-CA" w:eastAsia="en-CA"/>
            </w:rPr>
            <w:tab/>
          </w:r>
          <w:hyperlink w:anchor="__RefHeading___Toc458395927">
            <w:r>
              <w:rPr>
                <w:rStyle w:val="IndexLink"/>
                <w:sz w:val="24"/>
                <w:lang w:val="en-CA" w:eastAsia="en-CA"/>
              </w:rPr>
              <w:t>17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8.2</w:t>
            <w:tab/>
          </w:r>
          <w:r>
            <w:rPr>
              <w:sz w:val="24"/>
              <w:u w:val="single"/>
              <w:lang w:val="en-CA" w:eastAsia="en-CA"/>
            </w:rPr>
            <w:t>Actions Prior to Disclosure</w:t>
          </w:r>
          <w:r>
            <w:rPr>
              <w:sz w:val="24"/>
              <w:lang w:val="en-CA" w:eastAsia="en-CA"/>
            </w:rPr>
            <w:tab/>
          </w:r>
          <w:hyperlink w:anchor="__RefHeading___Toc458395928">
            <w:r>
              <w:rPr>
                <w:rStyle w:val="IndexLink"/>
                <w:sz w:val="24"/>
                <w:lang w:val="en-CA" w:eastAsia="en-CA"/>
              </w:rPr>
              <w:t>17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8.3</w:t>
            <w:tab/>
          </w:r>
          <w:r>
            <w:rPr>
              <w:sz w:val="24"/>
              <w:u w:val="single"/>
              <w:lang w:val="en-CA" w:eastAsia="en-CA"/>
            </w:rPr>
            <w:t>Non-Disclosure by Representatives</w:t>
          </w:r>
          <w:r>
            <w:rPr>
              <w:sz w:val="24"/>
              <w:lang w:val="en-CA" w:eastAsia="en-CA"/>
            </w:rPr>
            <w:tab/>
          </w:r>
          <w:hyperlink w:anchor="__RefHeading___Toc458395929">
            <w:r>
              <w:rPr>
                <w:rStyle w:val="IndexLink"/>
                <w:sz w:val="24"/>
                <w:lang w:val="en-CA" w:eastAsia="en-CA"/>
              </w:rPr>
              <w:t>17</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8.4</w:t>
            <w:tab/>
          </w:r>
          <w:r>
            <w:rPr>
              <w:sz w:val="24"/>
              <w:u w:val="single"/>
              <w:lang w:val="en-CA" w:eastAsia="en-CA"/>
            </w:rPr>
            <w:t>Injunctive Relief</w:t>
          </w:r>
          <w:r>
            <w:rPr>
              <w:sz w:val="24"/>
              <w:lang w:val="en-CA" w:eastAsia="en-CA"/>
            </w:rPr>
            <w:tab/>
          </w:r>
          <w:hyperlink w:anchor="__RefHeading___Toc458395930">
            <w:r>
              <w:rPr>
                <w:rStyle w:val="IndexLink"/>
                <w:sz w:val="24"/>
                <w:lang w:val="en-CA" w:eastAsia="en-CA"/>
              </w:rPr>
              <w:t>18</w:t>
            </w:r>
          </w:hyperlink>
        </w:p>
        <w:p>
          <w:pPr>
            <w:pStyle w:val="TOC1"/>
            <w:tabs>
              <w:tab w:val="left" w:pos="0" w:leader="none"/>
              <w:tab w:val="left" w:pos="720" w:leader="none"/>
              <w:tab w:val="left" w:pos="1440" w:leader="none"/>
              <w:tab w:val="right" w:pos="9350" w:leader="dot"/>
            </w:tabs>
            <w:rPr>
              <w:lang w:val="en-CA" w:eastAsia="en-CA"/>
            </w:rPr>
          </w:pPr>
          <w:r>
            <w:rPr>
              <w:b w:val="false"/>
              <w:lang w:val="en-CA" w:eastAsia="en-CA"/>
            </w:rPr>
            <w:t>ARTICLE 9.</w:t>
          </w:r>
          <w:r>
            <w:rPr>
              <w:lang w:val="en-CA" w:eastAsia="en-CA"/>
            </w:rPr>
            <w:tab/>
          </w:r>
          <w:r>
            <w:rPr>
              <w:b w:val="false"/>
              <w:lang w:val="en-CA" w:eastAsia="en-CA"/>
            </w:rPr>
            <w:t>MISCELLANEOUS</w:t>
          </w:r>
          <w:r>
            <w:rPr>
              <w:lang w:val="en-CA" w:eastAsia="en-CA"/>
            </w:rPr>
            <w:tab/>
          </w:r>
          <w:hyperlink w:anchor="__RefHeading___Toc458395931">
            <w:r>
              <w:rPr>
                <w:rStyle w:val="IndexLink"/>
                <w:lang w:val="en-CA" w:eastAsia="en-CA"/>
              </w:rPr>
              <w:t>18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9.1</w:t>
            <w:tab/>
          </w:r>
          <w:r>
            <w:rPr>
              <w:sz w:val="24"/>
              <w:u w:val="single"/>
              <w:lang w:val="en-CA" w:eastAsia="en-CA"/>
            </w:rPr>
            <w:t>Entire Agreement; Modifications in Writing</w:t>
          </w:r>
          <w:r>
            <w:rPr>
              <w:sz w:val="24"/>
              <w:lang w:val="en-CA" w:eastAsia="en-CA"/>
            </w:rPr>
            <w:tab/>
          </w:r>
          <w:hyperlink w:anchor="__RefHeading___Toc458395932">
            <w:r>
              <w:rPr>
                <w:rStyle w:val="IndexLink"/>
                <w:sz w:val="24"/>
                <w:lang w:val="en-CA" w:eastAsia="en-CA"/>
              </w:rPr>
              <w:t>18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9.2</w:t>
            <w:tab/>
          </w:r>
          <w:r>
            <w:rPr>
              <w:sz w:val="24"/>
              <w:u w:val="single"/>
              <w:lang w:val="en-CA" w:eastAsia="en-CA"/>
            </w:rPr>
            <w:t>Binding Effect; Assignment</w:t>
          </w:r>
          <w:r>
            <w:rPr>
              <w:sz w:val="24"/>
              <w:lang w:val="en-CA" w:eastAsia="en-CA"/>
            </w:rPr>
            <w:tab/>
          </w:r>
          <w:hyperlink w:anchor="__RefHeading___Toc458395933">
            <w:r>
              <w:rPr>
                <w:rStyle w:val="IndexLink"/>
                <w:sz w:val="24"/>
                <w:lang w:val="en-CA" w:eastAsia="en-CA"/>
              </w:rPr>
              <w:t>18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9.3</w:t>
            <w:tab/>
          </w:r>
          <w:r>
            <w:rPr>
              <w:sz w:val="24"/>
              <w:u w:val="single"/>
              <w:lang w:val="en-CA" w:eastAsia="en-CA"/>
            </w:rPr>
            <w:t>Communications</w:t>
          </w:r>
          <w:r>
            <w:rPr>
              <w:sz w:val="24"/>
              <w:lang w:val="en-CA" w:eastAsia="en-CA"/>
            </w:rPr>
            <w:tab/>
          </w:r>
          <w:hyperlink w:anchor="__RefHeading___Toc458395934">
            <w:r>
              <w:rPr>
                <w:rStyle w:val="IndexLink"/>
                <w:sz w:val="24"/>
                <w:lang w:val="en-CA" w:eastAsia="en-CA"/>
              </w:rPr>
              <w:t>18</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9.4</w:t>
            <w:tab/>
          </w:r>
          <w:r>
            <w:rPr>
              <w:sz w:val="24"/>
              <w:u w:val="single"/>
              <w:lang w:val="en-CA" w:eastAsia="en-CA"/>
            </w:rPr>
            <w:t>Expenses</w:t>
          </w:r>
          <w:r>
            <w:rPr>
              <w:sz w:val="24"/>
              <w:lang w:val="en-CA" w:eastAsia="en-CA"/>
            </w:rPr>
            <w:tab/>
          </w:r>
          <w:hyperlink w:anchor="__RefHeading___Toc458395935">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9.5</w:t>
            <w:tab/>
          </w:r>
          <w:r>
            <w:rPr>
              <w:sz w:val="24"/>
              <w:u w:val="single"/>
              <w:lang w:val="en-CA" w:eastAsia="en-CA"/>
            </w:rPr>
            <w:t>Execution of Counterparts</w:t>
          </w:r>
          <w:r>
            <w:rPr>
              <w:sz w:val="24"/>
              <w:lang w:val="en-CA" w:eastAsia="en-CA"/>
            </w:rPr>
            <w:tab/>
          </w:r>
          <w:hyperlink w:anchor="__RefHeading___Toc458395936">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b w:val="false"/>
              <w:sz w:val="24"/>
              <w:lang w:val="en-CA" w:eastAsia="en-CA"/>
            </w:rPr>
            <w:t>9.6</w:t>
          </w:r>
          <w:r>
            <w:rPr>
              <w:sz w:val="24"/>
              <w:lang w:val="en-CA" w:eastAsia="en-CA"/>
            </w:rPr>
            <w:tab/>
          </w:r>
          <w:r>
            <w:rPr>
              <w:b w:val="false"/>
              <w:sz w:val="24"/>
              <w:u w:val="single"/>
              <w:lang w:val="en-CA" w:eastAsia="en-CA"/>
            </w:rPr>
            <w:t>GOVERNING LAW</w:t>
          </w:r>
          <w:r>
            <w:rPr>
              <w:sz w:val="24"/>
              <w:lang w:val="en-CA" w:eastAsia="en-CA"/>
            </w:rPr>
            <w:tab/>
          </w:r>
          <w:hyperlink w:anchor="__RefHeading___Toc458395937">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9.7</w:t>
            <w:tab/>
          </w:r>
          <w:r>
            <w:rPr>
              <w:sz w:val="24"/>
              <w:u w:val="single"/>
              <w:lang w:val="en-CA" w:eastAsia="en-CA"/>
            </w:rPr>
            <w:t>Severability of Provisions</w:t>
          </w:r>
          <w:r>
            <w:rPr>
              <w:sz w:val="24"/>
              <w:lang w:val="en-CA" w:eastAsia="en-CA"/>
            </w:rPr>
            <w:tab/>
          </w:r>
          <w:hyperlink w:anchor="__RefHeading___Toc458395938">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9.8</w:t>
            <w:tab/>
          </w:r>
          <w:r>
            <w:rPr>
              <w:sz w:val="24"/>
              <w:u w:val="single"/>
              <w:lang w:val="en-CA" w:eastAsia="en-CA"/>
            </w:rPr>
            <w:t>Headings</w:t>
          </w:r>
          <w:r>
            <w:rPr>
              <w:sz w:val="24"/>
              <w:lang w:val="en-CA" w:eastAsia="en-CA"/>
            </w:rPr>
            <w:tab/>
          </w:r>
          <w:hyperlink w:anchor="__RefHeading___Toc458395939">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9.9</w:t>
            <w:tab/>
          </w:r>
          <w:r>
            <w:rPr>
              <w:sz w:val="24"/>
              <w:u w:val="single"/>
              <w:lang w:val="en-CA" w:eastAsia="en-CA"/>
            </w:rPr>
            <w:t>No Partnership Created</w:t>
          </w:r>
          <w:r>
            <w:rPr>
              <w:sz w:val="24"/>
              <w:lang w:val="en-CA" w:eastAsia="en-CA"/>
            </w:rPr>
            <w:tab/>
          </w:r>
          <w:hyperlink w:anchor="__RefHeading___Toc458395940">
            <w:r>
              <w:rPr>
                <w:rStyle w:val="IndexLink"/>
                <w:sz w:val="24"/>
                <w:lang w:val="en-CA" w:eastAsia="en-CA"/>
              </w:rPr>
              <w:t>20</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9.10</w:t>
            <w:tab/>
          </w:r>
          <w:r>
            <w:rPr>
              <w:sz w:val="24"/>
              <w:u w:val="single"/>
              <w:lang w:val="en-CA" w:eastAsia="en-CA"/>
            </w:rPr>
            <w:t>No Implied Warranties</w:t>
          </w:r>
          <w:r>
            <w:rPr>
              <w:sz w:val="24"/>
              <w:lang w:val="en-CA" w:eastAsia="en-CA"/>
            </w:rPr>
            <w:tab/>
          </w:r>
          <w:hyperlink w:anchor="__RefHeading___Toc458395941">
            <w:r>
              <w:rPr>
                <w:rStyle w:val="IndexLink"/>
                <w:sz w:val="24"/>
                <w:lang w:val="en-CA" w:eastAsia="en-CA"/>
              </w:rPr>
              <w:t>21</w:t>
            </w:r>
          </w:hyperlink>
        </w:p>
        <w:p>
          <w:pPr>
            <w:pStyle w:val="TOC2"/>
            <w:tabs>
              <w:tab w:val="left" w:pos="0" w:leader="none"/>
              <w:tab w:val="left" w:pos="720" w:leader="none"/>
              <w:tab w:val="left" w:pos="1440" w:leader="none"/>
              <w:tab w:val="right" w:pos="9350" w:leader="dot"/>
            </w:tabs>
            <w:rPr>
              <w:sz w:val="24"/>
              <w:lang w:val="en-CA" w:eastAsia="en-CA"/>
            </w:rPr>
          </w:pPr>
          <w:r>
            <w:rPr>
              <w:sz w:val="24"/>
              <w:lang w:val="en-CA" w:eastAsia="en-CA"/>
            </w:rPr>
            <w:t>9.11</w:t>
            <w:tab/>
          </w:r>
          <w:r>
            <w:rPr>
              <w:sz w:val="24"/>
              <w:u w:val="single"/>
              <w:lang w:val="en-CA" w:eastAsia="en-CA"/>
            </w:rPr>
            <w:t>Cost Responsibility</w:t>
          </w:r>
          <w:r>
            <w:rPr>
              <w:sz w:val="24"/>
              <w:lang w:val="en-CA" w:eastAsia="en-CA"/>
            </w:rPr>
            <w:tab/>
          </w:r>
          <w:hyperlink w:anchor="__RefHeading___Toc458395942">
            <w:r>
              <w:rPr>
                <w:rStyle w:val="IndexLink"/>
                <w:sz w:val="24"/>
                <w:lang w:val="en-CA" w:eastAsia="en-CA"/>
              </w:rPr>
              <w:t>21</w:t>
            </w:r>
          </w:hyperlink>
          <w:r>
            <w:rPr>
              <w:rStyle w:val="IndexLink"/>
              <w:sz w:val="24"/>
              <w:lang w:val="en-CA" w:eastAsia="en-CA"/>
            </w:rPr>
            <w:fldChar w:fldCharType="end"/>
          </w:r>
        </w:p>
      </w:sdtContent>
    </w:sdt>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Style w:val="Normal"/>
        <w:numPr>
          <w:ilvl w:val="0"/>
          <w:numId w:val="0"/>
        </w:numPr>
        <w:rPr>
          <w:rFonts w:ascii="Times New Roman" w:hAnsi="Times New Roman" w:cs="Times New Roman"/>
          <w:sz w:val="24"/>
          <w:lang w:val="en-CA" w:eastAsia="en-CA"/>
        </w:rPr>
      </w:pPr>
      <w:r>
        <w:rPr>
          <w:rFonts w:cs="Times New Roman" w:ascii="Times New Roman" w:hAnsi="Times New Roman"/>
          <w:sz w:val="24"/>
          <w:lang w:val="en-CA" w:eastAsia="en-CA"/>
        </w:rPr>
      </w:r>
    </w:p>
    <w:p>
      <w:pPr>
        <w:pStyle w:val="Normal"/>
        <w:widowControl/>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_____ day of May, 2001,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Customer and ENA have entered into the Gas Sale Agreement (hereafter defined) under which ENA will supply Customer’s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Customer agrees to grant, the agency to control Customer's transportation assets including the certain interface rights with Customer's existing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Customer's transportations assets without Customer-imposed restriction in accordance with ENA's overall business strategies and transactions, including its obligations to Customer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458395889"/>
      <w:bookmarkEnd w:id="0"/>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rPr/>
      </w:pPr>
      <w:r>
        <w:rPr>
          <w:rFonts w:cs="Times New Roman" w:ascii="Times New Roman" w:hAnsi="Times New Roman"/>
        </w:rPr>
        <w:t xml:space="preserve">"Assumed Liabilities" means any liabilities or obligations arising under or pursuant to the Transportation Contracts that either: (a) arise, or are attributable to acts or omissions occurring, during the Term, or (b) arise as a result of any breach by ENA of any Transaction Agreement.  </w:t>
      </w:r>
      <w:r>
        <w:rPr>
          <w:rFonts w:cs="Times New Roman" w:ascii="Times New Roman" w:hAnsi="Times New Roman"/>
          <w:i/>
          <w:iCs/>
        </w:rPr>
        <w:t xml:space="preserve">[Need to broaden to include imbalance penalties, OFO, or EFO penalties].  </w:t>
      </w:r>
      <w:r>
        <w:rPr>
          <w:rFonts w:cs="Times New Roman" w:ascii="Times New Roman" w:hAnsi="Times New Roman"/>
        </w:rPr>
        <w:t xml:space="preserve">If  Buyer performs its obligations specified herein,  Seller shall be responsible for paying the imbalance penalties in accordance with the PG&amp;E G-BAL tariff schedule or any other applicable tariff(s) schedule.  For the purpose of this Contract, imbalances  shall be equal to the difference, whether positive or negative, between  Buyer’s gas usage, which is calculated in accordance with the PG&amp;E meter readings at  Buyer’s City Gate, and the volume of gas delivered by  Seller at the Point of Delivery, plus imbalances in accordance with the PG&amp;E G-BAL tariff schedule, less Shrinkage.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"Buyer's Requirements Quantity" (or "BRQ") shall have the meaning given such term in the Gas Purchase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Transaction Agreement, [the Guaranty]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 7.5.</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"Counterparty" means, as to any Supply Contract, the party to such contract other than Customer.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the Gas required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assigned to such term in the introductory sentence of Article 4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Customer’s usage shall be less than or equal to the Customer’s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Supply Contracts, (b) arise, or are attributable to acts or omissions occurring, at a time other than during the Term, or (c) arise as a result of any breach by Customer of any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Customer of even date hereof which as is governed by that certain Enfolio® Master Firm Purchase/Agreement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Transportation Contract" means any Gas transportation contract entered into by Customer to transport Gas during the Term directly or indirectly to Customer.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[________] and the FERC.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"Gross Receipts Taxes" means any or all gross receipts, gross revenues or similar taxes or increases therein.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"Natural Gas Act" means the Natural Gas Act of 1938, as amended.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those certain transporation contracts with PG&amp;E set forth on Schedule ___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Customer’s usage equal Customer’s supply within a PG&amp;E specified tolerance band.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Customer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8.3.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"Supply Assets" means, collectively, the Supply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"Supply Contracts" means, collectively, the Assigned Contracts and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"Taxes" means any or all ad valorem, property, occupation, severance, production, extraction, first use, conservation, BTU or energy, gathering, pipeline, utility, gross receipts, gas or oil revenue, gas or oil import, privilege, sales, use, consumption, excise, lease, transaction, and other or new taxes, governmental charges, licenses, fees, permits and assessments, or increases therein, and Gross Receipts Taxes, but otherwise excluding taxes based on net income or net worth.</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2.10.</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"Third Party Contract" shall those firm Gas purchase agreements between third Gas suppliers and Customer for the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"Transaction Agreements" means this Agreement and the Gas Sale Contract, as each may be amended or supplemented from time to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bookmarkStart w:id="1" w:name="__RefHeading___Toc458395896"/>
      <w:bookmarkEnd w:id="1"/>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bookmarkStart w:id="2" w:name="__RefHeading___Toc458395898"/>
      <w:bookmarkEnd w:id="2"/>
      <w:r>
        <w:rPr>
          <w:rFonts w:cs="Times New Roman" w:ascii="Times New Roman" w:hAnsi="Times New Roman"/>
        </w:rPr>
        <w:t xml:space="preserve">.  During the Term, ENA shall act as Customer's exclusive agent for all purposes under the Transportation Contracts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be entitled to enforce, or at ENA's expense cause Customer to take such actions as may be required to enforce, Customer's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such Counterparty,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r>
        <w:rPr>
          <w:rFonts w:cs="Times New Roman" w:ascii="Times New Roman" w:hAnsi="Times New Roman"/>
          <w:u w:val="single"/>
        </w:rPr>
        <w:t>Customer's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bookmarkStart w:id="3" w:name="__RefHeading___Toc458395899"/>
      <w:bookmarkEnd w:id="3"/>
      <w:r>
        <w:rPr>
          <w:rFonts w:cs="Times New Roman" w:ascii="Times New Roman" w:hAnsi="Times New Roman"/>
        </w:rPr>
        <w:t>.  During the Term, Customer shall exercise its rights under the Transportation Contracts only as requested by ENA and Customer waives any direct claims against Counterparties under the Transportation Contracts, except with respect to Excluded Liabilities.  On or before the Effective Date, Customer shall give written notice to the Counterparties under the Transportation Contracts of Customer's appointment of ENA as Customer's agent under the Transportation Contracts for the Term.  Customer shall instruct the Counterparties under those Transportation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Transportation Contracts, commencing as of the Effective Date.  On or before the Effective Date, Customer and ENA shall enter into an agency agreement in form acceptable to PG&amp;E which reflects the terms and conditions of the ENA appointment as agent under the Transportation Contracts which reflect the terms and conditions herein.  To the extent Customer learns that a Counterparty to a Transportation Contract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limited agent for certain purposes under the Third Party Contract and, in so acting, may exercise certain of Customer's rights under the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operational and logistic,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(b)  Notifying Customer of any performance failures or defaults.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r>
        <w:rPr>
          <w:rFonts w:cs="Times New Roman" w:ascii="Times New Roman" w:hAnsi="Times New Roman"/>
          <w:u w:val="single"/>
        </w:rPr>
        <w:t>Customer's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Customer shall exercise all rights and shall be fully responsible for all obligations under the Third Party Contract, including without limitation, payment for all Gas quanitities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2.3</w:t>
        <w:tab/>
      </w:r>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bookmarkStart w:id="4" w:name="__RefHeading___Toc458395902"/>
      <w:bookmarkEnd w:id="4"/>
      <w:r>
        <w:rPr>
          <w:rFonts w:cs="Times New Roman" w:ascii="Times New Roman" w:hAnsi="Times New Roman"/>
        </w:rPr>
        <w:t xml:space="preserve">.  Customer may enter into any new Third Party Contract that will be effective during the Term to satisfy Customer's Load; provided, however, that (a) Customer shall provide ENA with a copy of such executed Third Party Contract at least five (5) Days prior to the first of the month during which the Gas will flow under such Third Party Contract and (b) any Customer may not enter into any new Third Party Contract which provides for a commencement of Gas flow mid month.  Any Third Party Contract entered into by Customer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2</w:t>
      </w:r>
      <w:r>
        <w:rPr>
          <w:b/>
          <w:rFonts w:cs="Times New Roman" w:ascii="Times New Roman" w:hAnsi="Times New Roman"/>
        </w:rPr>
        <w:fldChar w:fldCharType="end"/>
      </w:r>
      <w:r>
        <w:rPr>
          <w:rFonts w:cs="Times New Roman" w:ascii="Times New Roman" w:hAnsi="Times New Roman"/>
          <w:b/>
        </w:rPr>
        <w:t>.</w:t>
        <w:tab/>
        <w:t>LIABILITIES AND CHARGES</w:t>
      </w:r>
      <w:r>
        <w:fldChar w:fldCharType="begin"/>
      </w:r>
      <w:r>
        <w:rPr/>
        <w:instrText xml:space="preserve"> TC "ARTICLE 2.</w:instrText>
        <w:tab/>
        <w:instrText xml:space="preserve">TERMS AND CONDITIONS" \l 1 </w:instrText>
      </w:r>
      <w:r>
        <w:rPr/>
        <w:fldChar w:fldCharType="separate"/>
      </w:r>
      <w:r>
        <w:rPr/>
      </w:r>
      <w:r>
        <w:rPr/>
        <w:fldChar w:fldCharType="end"/>
      </w:r>
      <w:bookmarkStart w:id="5" w:name="__RefHeading___Toc458395890"/>
      <w:bookmarkEnd w:id="5"/>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.1</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bookmarkStart w:id="6" w:name="__RefHeading___Toc458395893"/>
      <w:bookmarkEnd w:id="6"/>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bookmarkStart w:id="7" w:name="__RefHeading___Toc458395894"/>
      <w:bookmarkEnd w:id="7"/>
      <w:r>
        <w:rPr>
          <w:rFonts w:cs="Times New Roman" w:ascii="Times New Roman" w:hAnsi="Times New Roman"/>
        </w:rPr>
        <w:t xml:space="preserve">.  Customer agrees to reimburse ENA for 100% of all demand and reservation charges, commodity charges, and all other charges or surchages ENA pays to Counterparties under the Transportation Contracts related to ENA’s Gas sales obligations to Customer under the Gas Sale Contract (the “Transportation Charges”), such reimbursement to be made by payment or credit timed to coincide as closely as practicable with ENA's payment of such charges to PG&amp;E.  Customer shall be entitled to audit all applicable books and records of ENA to verify the accuracy of such ENA payments.  ENA promptly shall pay to Customer all credits, refunds or other benefits ENA receives from Counterparties on account of demand and reservation charges, commodity charges, and all other charges or surchages ENA or Customer paid to Counterparties under the Transporation Contracts related to ENA’s Gas sales obligations to Customer under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3</w:t>
      </w:r>
      <w:r>
        <w:rPr>
          <w:b/>
          <w:rFonts w:cs="Times New Roman" w:ascii="Times New Roman" w:hAnsi="Times New Roman"/>
        </w:rPr>
        <w:fldChar w:fldCharType="end"/>
      </w:r>
      <w:r>
        <w:rPr>
          <w:rFonts w:cs="Times New Roman" w:ascii="Times New Roman" w:hAnsi="Times New Roman"/>
          <w:b/>
        </w:rPr>
        <w:t>.</w:t>
        <w:tab/>
        <w:t>VOLUMETRIC FEE AND 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monthly volumetric fee of $0.08 per MMBtu of Customer Actual Load (the “Volumetic Fee”).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Payment Terms</w:t>
      </w:r>
      <w:r>
        <w:rPr>
          <w:rFonts w:cs="Times New Roman" w:ascii="Times New Roman" w:hAnsi="Times New Roman"/>
        </w:rPr>
        <w:t>.  On or before the 15th day of each month occurring during the Term, ENA shall provide Customer with a written statement setting forth ENA’s calculation of the Volumetric Fee for the immediately preceding month, together with the Transporation Charges and any other charges due hereunder.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4.3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w:t>
      </w:r>
      <w:r>
        <w:rPr>
          <w:rFonts w:cs="Times New Roman" w:ascii="Times New Roman" w:hAnsi="Times New Roman"/>
          <w:spacing w:val="-2"/>
        </w:rPr>
        <w:t xml:space="preserve">the prime rate of ____________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4</w:t>
      </w:r>
      <w:r>
        <w:rPr>
          <w:b/>
          <w:rFonts w:cs="Times New Roman" w:ascii="Times New Roman" w:hAnsi="Times New Roman"/>
        </w:rPr>
        <w:fldChar w:fldCharType="end"/>
      </w:r>
      <w:r>
        <w:rPr>
          <w:rFonts w:cs="Times New Roman" w:ascii="Times New Roman" w:hAnsi="Times New Roman"/>
          <w:b/>
        </w:rPr>
        <w:t>.</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bookmarkStart w:id="8" w:name="__RefHeading___Toc458395895"/>
      <w:bookmarkEnd w:id="8"/>
      <w:r>
        <w:rPr>
          <w:rFonts w:cs="Times New Roman" w:ascii="Times New Roman" w:hAnsi="Times New Roman"/>
        </w:rPr>
        <w:t>.  The term of this Agreement (the "Term") shall commence on the Effective Date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[Have these been defined]</w:t>
      </w:r>
    </w:p>
    <w:p>
      <w:pPr>
        <w:pStyle w:val="Normal"/>
        <w:widowControl/>
        <w:tabs>
          <w:tab w:val="clear" w:pos="720"/>
          <w:tab w:val="left" w:pos="-1440" w:leader="none"/>
        </w:tabs>
        <w:ind w:start="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jc w:val="both"/>
        <w:rPr>
          <w:rFonts w:ascii="Times New Roman" w:hAnsi="Times New Roman" w:cs="Times New Roman"/>
        </w:rPr>
      </w:pPr>
      <w:r>
        <w:rPr>
          <w:rFonts w:cs="Times New Roman" w:ascii="Times New Roman" w:hAnsi="Times New Roman"/>
          <w:u w:val="single"/>
        </w:rPr>
        <w:t>Early Termination Penalty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5</w:t>
      </w:r>
      <w:r>
        <w:rPr>
          <w:b/>
          <w:rFonts w:cs="Times New Roman" w:ascii="Times New Roman" w:hAnsi="Times New Roman"/>
        </w:rPr>
        <w:fldChar w:fldCharType="end"/>
      </w:r>
      <w:r>
        <w:rPr>
          <w:rFonts w:cs="Times New Roman" w:ascii="Times New Roman" w:hAnsi="Times New Roman"/>
          <w:b/>
        </w:rPr>
        <w:t>.</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Customer shall continue to diligently monitor its load patterns and forecasts during the Term and use reasonable efforts to bring to the attention of ENA future contract opportunities or other similar arrangements that could be entered into by Customer and included within the Supply Assets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bookmarkStart w:id="9" w:name="__RefHeading___Toc458395904"/>
      <w:bookmarkEnd w:id="9"/>
      <w:r>
        <w:rPr>
          <w:rFonts w:cs="Times New Roman" w:ascii="Times New Roman" w:hAnsi="Times New Roman"/>
        </w:rPr>
        <w:t>.  ENA and Customer shall fully cooperate in good faith and make reasonable efforts to carry out the intent of the transactions contemplated in the Transaction Agreements, including actions necessary to properly administer and implement the terms of the Supply Contracts with the Counterparties thereto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actual or projected firm demand requirements, prospective regulatory changes that could affect the transactions contemplated in the Transaction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ind w:firstLine="1440" w:end="0"/>
        <w:jc w:val="both"/>
        <w:rPr>
          <w:rFonts w:ascii="Times New Roman" w:hAnsi="Times New Roman" w:cs="Times New Roman"/>
        </w:rPr>
      </w:pPr>
      <w:r>
        <w:rPr>
          <w:rFonts w:cs="Times New Roman" w:ascii="Times New Roman" w:hAnsi="Times New Roman"/>
        </w:rPr>
        <w:t>4.1   Buyer will communicate to Seller, by facsimile transmission and within ten (10) Days of receipt of information, any fundamental changes in the ADQ that become known to  Buyer during the term of the Contract.  Such fundamental changes may include,  without limitation, a large customer’s election to buy or not buy gas from  Buyer.  The Parties may modify EXHIBIT “A”  by administrative action without the requirement for a formal amendment to the Contract in order to reflect the Parties’ expected changes in the ADQ and MDQ.</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3.</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Load recorded in PG&amp;E’s meter data while ENA utilizes PG&amp;E’s electronic bulletin board, “Inside Tracc”.  The Parties shall cooperate to ensure that ENA can obtain the data from Customer’s backup pulse recorders.   Customer will maintain an accessible file of natural gas usage data for backup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6</w:t>
      </w:r>
      <w:r>
        <w:rPr>
          <w:b/>
          <w:rFonts w:cs="Times New Roman" w:ascii="Times New Roman" w:hAnsi="Times New Roman"/>
        </w:rPr>
        <w:fldChar w:fldCharType="end"/>
      </w:r>
      <w:r>
        <w:rPr>
          <w:rFonts w:cs="Times New Roman" w:ascii="Times New Roman" w:hAnsi="Times New Roman"/>
          <w:b/>
        </w:rPr>
        <w:t>.</w:t>
        <w:tab/>
        <w:t>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bookmarkStart w:id="10" w:name="__RefHeading___Toc458395912"/>
      <w:bookmarkEnd w:id="10"/>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fldChar w:fldCharType="begin"/>
      </w:r>
      <w:r>
        <w:rPr/>
        <w:instrText xml:space="preserve"> TC "5.1</w:instrText>
        <w:tab/>
        <w:instrText xml:space="preserve">Customer" \l 2 </w:instrText>
      </w:r>
      <w:r>
        <w:rPr/>
        <w:fldChar w:fldCharType="separate"/>
      </w:r>
      <w:r>
        <w:rPr/>
      </w:r>
      <w:r>
        <w:rPr/>
        <w:fldChar w:fldCharType="end"/>
      </w:r>
      <w:bookmarkStart w:id="11" w:name="__RefHeading___Toc458395913"/>
      <w:bookmarkEnd w:id="11"/>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corporation duly organized, validly existing and in good standing under the laws of the State of [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Transaction Agreement to which it is a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Transaction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and delivery by Customer of each Transaction Agreement to which it is a party, and of all other agreements and instruments to be executed and delivered by Customer pursuant to any Transaction Agreement, and performance and compliance with the terms and provisions of each Transaction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Transaction Agreement or the ability or obligation of Customer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(f)</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Transaction Agreement to which it is a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t xml:space="preserve">ENA has received true and correct copies of each of the Supply Contracts (including all exhibits and schedules constituting part thereof) and all amendments thereto, waivers relating thereto and other agreements affecting the terms thereof during the Term.  Except as set forth on </w:t>
      </w:r>
      <w:r>
        <w:rPr>
          <w:rFonts w:cs="Times New Roman" w:ascii="Times New Roman" w:hAnsi="Times New Roman"/>
          <w:b/>
        </w:rPr>
        <w:t>Schedule 1</w:t>
      </w:r>
      <w:r>
        <w:rPr>
          <w:rFonts w:cs="Times New Roman" w:ascii="Times New Roman" w:hAnsi="Times New Roman"/>
        </w:rPr>
        <w:t>, each of the Supply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Supply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bookmarkStart w:id="12" w:name="__RefHeading___Toc458395914"/>
      <w:bookmarkEnd w:id="12"/>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Transaction Agreement  to which it is a party.</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Transaction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delivery and performance by ENA of each Transaction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Transaction Agreement or the ability or obligation of ENA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Transaction Agreement to which it is a party.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bookmarkStart w:id="13" w:name="__RefHeading___Toc458395915"/>
      <w:bookmarkEnd w:id="13"/>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Transporation Contracts during the Term as ENA in its sole discretion shall determine and for ENA's own account, subject to the terms and conditions of this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Transporation Contracts during the Term or otherwise associated with the transactions contemplated herein, except with respect to the Excluded Liabilities.  All income and losses attributable to the utilization or implementation of or otherwise with respect to the Transporation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resale and remarketing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Transaction Agreement and shall not entitle ENA to fail to perform any obligation relating to the Transaction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7</w:t>
      </w:r>
      <w:r>
        <w:rPr>
          <w:b/>
          <w:rFonts w:cs="Times New Roman" w:ascii="Times New Roman" w:hAnsi="Times New Roman"/>
        </w:rPr>
        <w:fldChar w:fldCharType="end"/>
      </w:r>
      <w:r>
        <w:rPr>
          <w:rFonts w:cs="Times New Roman" w:ascii="Times New Roman" w:hAnsi="Times New Roman"/>
          <w:b/>
        </w:rPr>
        <w:t>.</w:t>
        <w:tab/>
        <w:t>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bookmarkStart w:id="14" w:name="__RefHeading___Toc458395916"/>
      <w:bookmarkEnd w:id="14"/>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bookmarkStart w:id="15" w:name="__RefHeading___Toc458395917"/>
      <w:bookmarkEnd w:id="15"/>
      <w:r>
        <w:rPr>
          <w:rFonts w:cs="Times New Roman" w:ascii="Times New Roman" w:hAnsi="Times New Roman"/>
        </w:rPr>
        <w:t>.  The following shall be grounds for termination of all of the Transaction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Transaction Agreements if the other Party fails to make payment of any amounts due under any provision of any Transaction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Transaction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Transaction Agreements if the other Party fails to comply substantially with any material provision of this Agreement or of any other Transaction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Either party may terminate this Agreement and all of the other Transaction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Either Party may terminate this Agreement and all of the other Transaction Agreements if existing federal, state and local regulatory rules, regulations and policies that serve as the basis for the transactions described in the Transaction Agreements and that are generally applicable to similarly situated parties shall be eliminated or otherwise modified in any manner that would be reasonably likely to have a material adverse effect on such Party or the benefits it anticipates deriving from the transactions described in the Transaction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bookmarkStart w:id="16" w:name="__RefHeading___Toc458395918"/>
      <w:bookmarkEnd w:id="16"/>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6.2(b), a Party which may and desires to terminate all of the Transaction Agreements pursuant to Section 6.1 shall give written notice of its intention to terminate and the reasons therefor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Transaction Agreements, except pursuant to Section 6.2(g),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Transaction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Transaction Agreements as a result of a breach by Customer of one or more of such agreements, then ENA may retain its interest in the Supply Assets (including, without limitation,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the Transaction Agreements as a result of a breach by ENA of one or more of such agreements, then ENA shall lose its interest in the Supply Assets (including, without limitation, its right to administer the Transportation Contracts as Customer's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In the event that this Agreement is terminated pursuant to the provisions of Sections 6.1(a), (b), (c) or (d) as the result of the acts or omissions of Customer, Customer shall be obligated to pay ENA an amount equal to the "ENA Termination Expenses", and in addition Customer shall be obligated to elect one of the two following alternatives: (1) pay ENA an amount equal to: all amounts ENA has paid to Counterparties pursuant to Section 2.7 of this Agreement, plus an amount equal to ENA's actual cost to unwind those financial hedge transactions it entered into to hedge the transactions contemplated by the Transaction Agreements (the "Hedges"), in which event Customer shall have the right to audit all applicable books and records of ENA in order to verify the determination of the above two amounts; or (2) receive from ENA an assignment and delegation of ENA's positions in the Hedges, inclusive of all of ENA's rights and liabilities thereunder, in which event ENA shall promptly assign and delegate to Customer all of ENA's rights and liabilities with respect to the Hedges and Customer shall promptly thereafter undertake to the Hedge Counterparty or Counterparties to bear full responsibility for performance of all such liabilities.  The choice between the two alternatives set forth in the previous sentence shall be made by Customer at its option, exercised in its sole discretion.  The term "ENA Termination Expenses" means: $_________ if the termination is effective on or before [_______] $________ if the termination is effective after [     ] but before [     ] and if the termination is effective on or after [      ] the actual and reasonable expenses incurred by ENA through the date of termination. [What costs would we have here?]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bookmarkStart w:id="17" w:name="__RefHeading___Toc458395919"/>
      <w:bookmarkEnd w:id="17"/>
      <w:r>
        <w:rPr>
          <w:rFonts w:cs="Times New Roman" w:ascii="Times New Roman" w:hAnsi="Times New Roman"/>
        </w:rPr>
        <w:t>.  Subject to Section 6.2(c), at the end of the Term, (a) ENA's agency under the Transportation Contracts shall expire or be revoked, and at Customer's request ENA shall assist Customer in very promptly advising any Counterparty of such expiration or revocation, and (b) any amounts due and owing either Party under any Transaction Agreement shall be paid pursuant to the terms of such Transaction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8</w:t>
      </w:r>
      <w:r>
        <w:rPr>
          <w:b/>
          <w:rFonts w:cs="Times New Roman" w:ascii="Times New Roman" w:hAnsi="Times New Roman"/>
        </w:rPr>
        <w:fldChar w:fldCharType="end"/>
      </w:r>
      <w:r>
        <w:rPr>
          <w:rFonts w:cs="Times New Roman" w:ascii="Times New Roman" w:hAnsi="Times New Roman"/>
          <w:b/>
        </w:rPr>
        <w:t>.</w:t>
        <w:tab/>
        <w:t>INDEMNIFICATION</w:t>
      </w:r>
      <w:r>
        <w:fldChar w:fldCharType="begin"/>
      </w:r>
      <w:r>
        <w:rPr/>
        <w:instrText xml:space="preserve"> TC "ARTICLE 7.</w:instrText>
        <w:tab/>
        <w:instrText xml:space="preserve">INDEMNIFICATION" \l 1 </w:instrText>
      </w:r>
      <w:r>
        <w:rPr/>
        <w:fldChar w:fldCharType="separate"/>
      </w:r>
      <w:r>
        <w:rPr/>
      </w:r>
      <w:r>
        <w:rPr/>
        <w:fldChar w:fldCharType="end"/>
      </w:r>
      <w:bookmarkStart w:id="18" w:name="__RefHeading___Toc458395920"/>
      <w:bookmarkEnd w:id="18"/>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bookmarkStart w:id="19" w:name="__RefHeading___Toc458395921"/>
      <w:bookmarkEnd w:id="19"/>
      <w:r>
        <w:rPr>
          <w:rFonts w:cs="Times New Roman" w:ascii="Times New Roman" w:hAnsi="Times New Roman"/>
        </w:rPr>
        <w:t>.</w:t>
        <w:tab/>
        <w:t>Subject to Section 7.3,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Transaction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bookmarkStart w:id="20" w:name="__RefHeading___Toc458395922"/>
      <w:bookmarkEnd w:id="20"/>
      <w:r>
        <w:rPr>
          <w:rFonts w:cs="Times New Roman" w:ascii="Times New Roman" w:hAnsi="Times New Roman"/>
        </w:rPr>
        <w:t>.  Subject to Section 7.3,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Transaction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bookmarkStart w:id="21" w:name="__RefHeading___Toc458395923"/>
      <w:bookmarkEnd w:id="21"/>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7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bookmarkStart w:id="22" w:name="__RefHeading___Toc458395924"/>
      <w:bookmarkEnd w:id="22"/>
      <w:r>
        <w:rPr>
          <w:rFonts w:cs="Times New Roman" w:ascii="Times New Roman" w:hAnsi="Times New Roman"/>
        </w:rPr>
        <w:t xml:space="preserve">.  Subject to the last sentence of this section,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Supply Asset or any other claim whether arising in contract, warranty, tort (including negligence), strict liability, indemnity or otherwise arising out of or relating to any Transaction Agreement, and each Party hereby releases the other Party from any liability for all such losses and damages.  It is expressly agreed that no failure by either Party to fulfill any condition of any Transaction Agreement shall constitute a failure of essential purpose entitling either Party to seek Consequential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bookmarkStart w:id="23" w:name="__RefHeading___Toc458395925"/>
      <w:bookmarkEnd w:id="23"/>
      <w:r>
        <w:rPr>
          <w:rFonts w:cs="Times New Roman" w:ascii="Times New Roman" w:hAnsi="Times New Roman"/>
        </w:rPr>
        <w:t>.  The provisions of this Article 7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9</w:t>
      </w:r>
      <w:r>
        <w:rPr>
          <w:b/>
          <w:rFonts w:cs="Times New Roman" w:ascii="Times New Roman" w:hAnsi="Times New Roman"/>
        </w:rPr>
        <w:fldChar w:fldCharType="end"/>
      </w:r>
      <w:r>
        <w:rPr>
          <w:rFonts w:cs="Times New Roman" w:ascii="Times New Roman" w:hAnsi="Times New Roman"/>
          <w:b/>
        </w:rPr>
        <w:t>. CONFIDENTIALITY</w:t>
      </w:r>
      <w:r>
        <w:fldChar w:fldCharType="begin"/>
      </w:r>
      <w:r>
        <w:rPr/>
        <w:instrText xml:space="preserve"> TC "ARTICLE 8. CONFIDENTIALITY" \l 1 </w:instrText>
      </w:r>
      <w:r>
        <w:rPr/>
        <w:fldChar w:fldCharType="separate"/>
      </w:r>
      <w:r>
        <w:rPr/>
      </w:r>
      <w:r>
        <w:rPr/>
        <w:fldChar w:fldCharType="end"/>
      </w:r>
      <w:bookmarkStart w:id="24" w:name="__RefHeading___Toc458395926"/>
      <w:bookmarkEnd w:id="24"/>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bookmarkStart w:id="25" w:name="__RefHeading___Toc458395927"/>
      <w:bookmarkEnd w:id="25"/>
      <w:r>
        <w:rPr>
          <w:rFonts w:cs="Times New Roman" w:ascii="Times New Roman" w:hAnsi="Times New Roman"/>
        </w:rPr>
        <w:t>.  Except as provided in Section 8.2,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Transaction Agreement and in the Guaranty.  The Parties shall consult with each other and no Party shall issue any public announcement or statement with respect to the existence of any Transaction Agreement, the Guaranty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bookmarkStart w:id="26" w:name="__RefHeading___Toc458395928"/>
      <w:bookmarkEnd w:id="26"/>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Transaction Agreement, the Guaranty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Transaction Agreement, the Guaranty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bookmarkStart w:id="27" w:name="__RefHeading___Toc458395929"/>
      <w:bookmarkEnd w:id="27"/>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bookmarkStart w:id="28" w:name="__RefHeading___Toc458395930"/>
      <w:bookmarkEnd w:id="28"/>
      <w:r>
        <w:rPr>
          <w:rFonts w:cs="Times New Roman" w:ascii="Times New Roman" w:hAnsi="Times New Roman"/>
        </w:rPr>
        <w:t>.  The Parties agree that in the event of any breach by either Party or its respective Representatives of any of the provisions of this Article 8,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8.</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[Arbitration]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10</w:t>
      </w:r>
      <w:r>
        <w:rPr>
          <w:b/>
          <w:rFonts w:cs="Times New Roman" w:ascii="Times New Roman" w:hAnsi="Times New Roman"/>
        </w:rPr>
        <w:fldChar w:fldCharType="end"/>
      </w:r>
      <w:r>
        <w:rPr>
          <w:rFonts w:cs="Times New Roman" w:ascii="Times New Roman" w:hAnsi="Times New Roman"/>
          <w:b/>
        </w:rPr>
        <w:t>.</w:t>
        <w:tab/>
        <w:t>MISCELLANEOUS</w:t>
      </w:r>
      <w:r>
        <w:fldChar w:fldCharType="begin"/>
      </w:r>
      <w:r>
        <w:rPr/>
        <w:instrText xml:space="preserve"> TC "ARTICLE 9.</w:instrText>
        <w:tab/>
        <w:instrText xml:space="preserve">MISCELLANEOUS" \l 1 </w:instrText>
      </w:r>
      <w:r>
        <w:rPr/>
        <w:fldChar w:fldCharType="separate"/>
      </w:r>
      <w:r>
        <w:rPr/>
      </w:r>
      <w:r>
        <w:rPr/>
        <w:fldChar w:fldCharType="end"/>
      </w:r>
      <w:bookmarkStart w:id="29" w:name="__RefHeading___Toc458395931"/>
      <w:bookmarkEnd w:id="29"/>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bookmarkStart w:id="30" w:name="__RefHeading___Toc458395932"/>
      <w:bookmarkEnd w:id="30"/>
      <w:r>
        <w:rPr>
          <w:rFonts w:cs="Times New Roman" w:ascii="Times New Roman" w:hAnsi="Times New Roman"/>
        </w:rPr>
        <w:t>.  The Transaction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Transaction Agreement, no amendment, waiver, consent, modification or termination of any provision of such Transaction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bookmarkStart w:id="31" w:name="__RefHeading___Toc458395933"/>
      <w:bookmarkEnd w:id="31"/>
      <w:r>
        <w:rPr>
          <w:rFonts w:cs="Times New Roman" w:ascii="Times New Roman" w:hAnsi="Times New Roman"/>
        </w:rPr>
        <w:t>.  The rights and obligations hereunder of either Party may not be assigned or delegated to any Person without the prior consent of the other Party; provided that ENA shall be permitted to assign its rights with respect to any Supply Asset.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bookmarkStart w:id="32" w:name="__RefHeading___Toc458395934"/>
      <w:bookmarkEnd w:id="32"/>
      <w:r>
        <w:rPr>
          <w:rFonts w:cs="Times New Roman" w:ascii="Times New Roman" w:hAnsi="Times New Roman"/>
        </w:rPr>
        <w:t>.  All communications required or permitted under the terms of any Transaction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Expenses</w:t>
      </w:r>
      <w:r>
        <w:fldChar w:fldCharType="begin"/>
      </w:r>
      <w:r>
        <w:rPr/>
        <w:instrText xml:space="preserve"> TC "9.4</w:instrText>
        <w:tab/>
        <w:instrText xml:space="preserve">Expenses" \l 2 </w:instrText>
      </w:r>
      <w:r>
        <w:rPr/>
        <w:fldChar w:fldCharType="separate"/>
      </w:r>
      <w:r>
        <w:rPr/>
      </w:r>
      <w:r>
        <w:rPr/>
        <w:fldChar w:fldCharType="end"/>
      </w:r>
      <w:bookmarkStart w:id="33" w:name="__RefHeading___Toc458395935"/>
      <w:bookmarkEnd w:id="33"/>
      <w:r>
        <w:rPr>
          <w:rFonts w:cs="Times New Roman" w:ascii="Times New Roman" w:hAnsi="Times New Roman"/>
        </w:rPr>
        <w:t>.</w:t>
        <w:tab/>
        <w:t>Each Party shall pay its own expenses incident to negotiation, execution and delivery of the Transaction Agreements.  The provisions of this Section 9.4 shall remain operative and in full force and effect regardless of any termination of any Transaction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bookmarkStart w:id="34" w:name="__RefHeading___Toc458395936"/>
      <w:bookmarkEnd w:id="34"/>
      <w:r>
        <w:rPr>
          <w:rFonts w:cs="Times New Roman" w:ascii="Times New Roman" w:hAnsi="Times New Roman"/>
        </w:rPr>
        <w:t>.  Each of the Transaction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10</w:t>
      </w:r>
      <w:r>
        <w:rPr>
          <w:b/>
          <w:rFonts w:cs="Times New Roman" w:ascii="Times New Roman" w:hAnsi="Times New Roman"/>
        </w:rPr>
        <w:fldChar w:fldCharType="end"/>
      </w:r>
      <w:r>
        <w:rPr>
          <w:rFonts w:cs="Times New Roman" w:ascii="Times New Roman" w:hAnsi="Times New Roman"/>
          <w:b/>
        </w:rPr>
        <w:t>.</w:t>
      </w:r>
      <w:r>
        <w:rPr>
          <w:rFonts w:cs="Times New Roman" w:ascii="Times New Roman" w:hAnsi="Times New Roman"/>
          <w:b/>
        </w:rPr>
        <w:fldChar w:fldCharType="begin"/>
      </w:r>
      <w:r>
        <w:rPr>
          <w:b/>
          <w:rFonts w:cs="Times New Roman" w:ascii="Times New Roman" w:hAnsi="Times New Roman"/>
        </w:rPr>
        <w:instrText xml:space="preserve"> SEQ ParaNumbers2_1 \* ARABIC </w:instrText>
      </w:r>
      <w:r>
        <w:rPr>
          <w:b/>
          <w:rFonts w:cs="Times New Roman" w:ascii="Times New Roman" w:hAnsi="Times New Roman"/>
        </w:rPr>
        <w:fldChar w:fldCharType="separate"/>
      </w:r>
      <w:r>
        <w:rPr>
          <w:b/>
          <w:rFonts w:cs="Times New Roman" w:ascii="Times New Roman" w:hAnsi="Times New Roman"/>
        </w:rPr>
        <w:t>6</w:t>
      </w:r>
      <w:r>
        <w:rPr>
          <w:b/>
          <w:rFonts w:cs="Times New Roman" w:ascii="Times New Roman" w:hAnsi="Times New Roman"/>
        </w:rPr>
        <w:fldChar w:fldCharType="end"/>
      </w:r>
      <w:r>
        <w:rPr>
          <w:rFonts w:cs="Times New Roman" w:ascii="Times New Roman" w:hAnsi="Times New Roman"/>
          <w:b/>
        </w:rPr>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bookmarkStart w:id="35" w:name="__RefHeading___Toc458395937"/>
      <w:bookmarkEnd w:id="35"/>
      <w:r>
        <w:rPr>
          <w:rFonts w:cs="Times New Roman" w:ascii="Times New Roman" w:hAnsi="Times New Roman"/>
          <w:b/>
        </w:rPr>
        <w:t>. EACH TRANSACTION AGREEMENT, AND THE</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t>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bookmarkStart w:id="36" w:name="__RefHeading___Toc458395938"/>
      <w:bookmarkEnd w:id="36"/>
      <w:r>
        <w:rPr>
          <w:rFonts w:cs="Times New Roman" w:ascii="Times New Roman" w:hAnsi="Times New Roman"/>
        </w:rPr>
        <w:t>.  The invalidity of one or more provisions or contained in any Transaction Agreement shall not affect the validity of the remaining portions of the Transaction Agreements so long as for both Parties the material purposes of the Transaction Agreements taken as a whole can be determined and effectuated.  In the event that any or all of any Transaction Agreement is held to be invalid or unenforceable, the Parties agree to negotiate in good faith to reach an equitable agreement on such portion that is void or unenforceable.  If any indemnity or hold harmless obligation (or portions thereof) in any Transaction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bookmarkStart w:id="37" w:name="__RefHeading___Toc458395939"/>
      <w:bookmarkEnd w:id="37"/>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bookmarkStart w:id="38" w:name="__RefHeading___Toc458395940"/>
      <w:bookmarkEnd w:id="38"/>
      <w:r>
        <w:rPr>
          <w:rFonts w:cs="Times New Roman" w:ascii="Times New Roman" w:hAnsi="Times New Roman"/>
        </w:rPr>
        <w:t>.  The rights, liabilities, responsibilities and remedies of the Parties with respect to the subject matter of the Transaction Agreements shall be exclusively those expressly set forth in the Transaction Agreements.  Neither Party is, or will represent itself as being, a partner of, or agent (except as expressly provided in the Transaction Agreements) or fiduciary for, the other Party with respect to the Supply Assets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bookmarkStart w:id="39" w:name="__RefHeading___Toc458395941"/>
      <w:bookmarkEnd w:id="39"/>
      <w:r>
        <w:rPr>
          <w:rFonts w:cs="Times New Roman" w:ascii="Times New Roman" w:hAnsi="Times New Roman"/>
        </w:rPr>
        <w:t>.  Each Party hereby disclaims, and the other Party hereby waives, any implied representations, covenants, warranties and agreements, except those expressly set forth in a Transaction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bookmarkStart w:id="40" w:name="__RefHeading___Toc458395942"/>
      <w:bookmarkEnd w:id="40"/>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2160" w:end="0"/>
        <w:jc w:val="both"/>
        <w:rPr>
          <w:rFonts w:ascii="Times New Roman" w:hAnsi="Times New Roman" w:cs="Times New Roman"/>
        </w:rPr>
      </w:pPr>
      <w:r>
        <w:rPr>
          <w:rFonts w:cs="Times New Roman" w:ascii="Times New Roman" w:hAnsi="Times New Roman"/>
          <w:b/>
        </w:rPr>
        <w:t>____________________________________</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2160" w:end="0"/>
        <w:jc w:val="both"/>
        <w:rPr/>
      </w:pPr>
      <w:r>
        <w:rPr>
          <w:rFonts w:cs="Times New Roman" w:ascii="Times New Roman" w:hAnsi="Times New Roman"/>
        </w:rPr>
        <w:t>By:</w:t>
      </w:r>
      <w:r>
        <w:rPr>
          <w:rFonts w:cs="Times New Roman" w:ascii="Times New Roman" w:hAnsi="Times New Roman"/>
          <w:u w:val="single"/>
        </w:rPr>
        <w:tab/>
        <w:tab/>
        <w:tab/>
        <w:tab/>
        <w:tab/>
        <w:tab/>
      </w:r>
      <w:r>
        <w:rPr>
          <w:rFonts w:cs="Times New Roman" w:ascii="Times New Roman" w:hAnsi="Times New Roman"/>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Times New Roman" w:hAnsi="Times New Roman" w:cs="Times New Roman"/>
        </w:rPr>
      </w:pPr>
      <w:r>
        <w:rPr>
          <w:rFonts w:cs="Times New Roman" w:ascii="Times New Roman" w:hAnsi="Times New Roman"/>
        </w:rPr>
        <w:t>Name: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Times New Roman" w:hAnsi="Times New Roman" w:cs="Times New Roman"/>
        </w:rPr>
      </w:pPr>
      <w:r>
        <w:rPr>
          <w:rFonts w:cs="Times New Roman" w:ascii="Times New Roman" w:hAnsi="Times New Roman"/>
        </w:rPr>
        <w:t>Title: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160" w:end="0"/>
        <w:jc w:val="both"/>
        <w:rPr>
          <w:rFonts w:ascii="Times New Roman" w:hAnsi="Times New Roman" w:cs="Times New Roman"/>
        </w:rPr>
      </w:pPr>
      <w:r>
        <w:rPr>
          <w:rFonts w:cs="Times New Roman" w:ascii="Times New Roman" w:hAnsi="Times New Roman"/>
          <w:b/>
        </w:rPr>
        <w:t>ENRON NORTH AMERICA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16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Times New Roman" w:hAnsi="Times New Roman" w:cs="Times New Roman"/>
        </w:rPr>
      </w:pPr>
      <w:r>
        <w:rPr>
          <w:rFonts w:cs="Times New Roman" w:ascii="Times New Roman" w:hAnsi="Times New Roman"/>
        </w:rPr>
        <w:t xml:space="preserve">Name: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22</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22</w:t>
                    </w:r>
                    <w:r>
                      <w:rPr>
                        <w:rFonts w:cs="CG Times;Times New Roman" w:ascii="CG Times;Times New Roman" w:hAnsi="CG Times;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2001-05-16T21:09:00Z</dcterms:created>
  <dc:creator>wende warren</dc:creator>
  <dc:description/>
  <dc:language>en-CA</dc:language>
  <cp:lastModifiedBy>gnemec</cp:lastModifiedBy>
  <cp:lastPrinted>2001-05-17T18:46:00Z</cp:lastPrinted>
  <dcterms:modified xsi:type="dcterms:W3CDTF">2001-05-18T20:30:00Z</dcterms:modified>
  <cp:revision>39</cp:revision>
  <dc:subject/>
  <dc:title>GAS SUPPLY ASSET ASSIGNMENT AND AGENCY AGREEMENT</dc:title>
</cp:coreProperties>
</file>