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header7.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document.xml" ContentType="application/vnd.openxmlformats-officedocument.wordprocessingml.document.main+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All Business Summary April 2001 (March Production)</w:t>
      </w:r>
    </w:p>
    <w:p>
      <w:pPr>
        <w:pStyle w:val="Normal"/>
        <w:rPr>
          <w:lang w:val="en-GB"/>
        </w:rPr>
      </w:pPr>
      <w:r>
        <w:rPr>
          <w:lang w:val="en-GB"/>
        </w:rPr>
      </w:r>
    </w:p>
    <w:p>
      <w:pPr>
        <w:pStyle w:val="Heading3"/>
        <w:ind w:hanging="0" w:start="0"/>
        <w:rPr>
          <w:caps w:val="false"/>
          <w:smallCaps w:val="false"/>
        </w:rPr>
      </w:pPr>
      <w:r>
        <w:rPr>
          <w:caps w:val="false"/>
          <w:smallCaps w:val="false"/>
        </w:rPr>
        <w:t>Settlements Headcount Versus Plan</w:t>
      </w:r>
      <w:r>
        <mc:AlternateContent>
          <mc:Choice Requires="wps">
            <w:drawing>
              <wp:anchor behindDoc="0" distT="0" distB="0" distL="114935" distR="114935" simplePos="0" locked="0" layoutInCell="1" allowOverlap="1" relativeHeight="8">
                <wp:simplePos x="0" y="0"/>
                <wp:positionH relativeFrom="column">
                  <wp:posOffset>4000500</wp:posOffset>
                </wp:positionH>
                <wp:positionV relativeFrom="paragraph">
                  <wp:posOffset>127000</wp:posOffset>
                </wp:positionV>
                <wp:extent cx="2286000" cy="2171700"/>
                <wp:effectExtent l="0" t="0" r="0" b="0"/>
                <wp:wrapNone/>
                <wp:docPr id="1" name="Frame1"/>
                <a:graphic xmlns:a="http://schemas.openxmlformats.org/drawingml/2006/main">
                  <a:graphicData uri="http://schemas.microsoft.com/office/word/2010/wordprocessingShape">
                    <wps:wsp>
                      <wps:cNvSpPr txBox="1"/>
                      <wps:spPr>
                        <a:xfrm>
                          <a:off x="0" y="0"/>
                          <a:ext cx="2286000" cy="2171700"/>
                        </a:xfrm>
                        <a:prstGeom prst="rect"/>
                        <a:solidFill>
                          <a:srgbClr val="FFFFFF"/>
                        </a:solidFill>
                      </wps:spPr>
                      <wps:txbx>
                        <w:txbxContent>
                          <w:p>
                            <w:pPr>
                              <w:pStyle w:val="Heading4"/>
                              <w:ind w:hanging="0" w:start="0"/>
                              <w:rPr/>
                            </w:pPr>
                            <w:r>
                              <w:rPr/>
                              <w:t>Staffing Headlines - April</w:t>
                            </w:r>
                          </w:p>
                          <w:p>
                            <w:pPr>
                              <w:pStyle w:val="Normal"/>
                              <w:rPr>
                                <w:sz w:val="16"/>
                                <w:lang w:val="en-GB"/>
                              </w:rPr>
                            </w:pPr>
                            <w:r>
                              <w:rPr>
                                <w:sz w:val="16"/>
                                <w:lang w:val="en-GB"/>
                              </w:rPr>
                            </w:r>
                          </w:p>
                          <w:p>
                            <w:pPr>
                              <w:pStyle w:val="BodyText"/>
                              <w:numPr>
                                <w:ilvl w:val="0"/>
                                <w:numId w:val="5"/>
                              </w:numPr>
                              <w:tabs>
                                <w:tab w:val="clear" w:pos="720"/>
                                <w:tab w:val="left" w:pos="180" w:leader="none"/>
                              </w:tabs>
                              <w:spacing w:before="0" w:after="120"/>
                              <w:ind w:hanging="187" w:start="187" w:end="0"/>
                              <w:rPr/>
                            </w:pPr>
                            <w:r>
                              <w:rPr/>
                              <w:t>Ray Dollman, UK Power, left Enron.  Recruitment for replacement underway.</w:t>
                            </w:r>
                          </w:p>
                          <w:p>
                            <w:pPr>
                              <w:pStyle w:val="BodyText"/>
                              <w:numPr>
                                <w:ilvl w:val="0"/>
                                <w:numId w:val="5"/>
                              </w:numPr>
                              <w:tabs>
                                <w:tab w:val="clear" w:pos="720"/>
                                <w:tab w:val="left" w:pos="180" w:leader="none"/>
                              </w:tabs>
                              <w:spacing w:before="0" w:after="120"/>
                              <w:ind w:hanging="187" w:start="187" w:end="0"/>
                              <w:rPr/>
                            </w:pPr>
                            <w:r>
                              <w:rPr/>
                              <w:t>Anthony Smith (Admin) joined UK Power.</w:t>
                            </w:r>
                          </w:p>
                          <w:p>
                            <w:pPr>
                              <w:pStyle w:val="BodyText"/>
                              <w:numPr>
                                <w:ilvl w:val="0"/>
                                <w:numId w:val="5"/>
                              </w:numPr>
                              <w:tabs>
                                <w:tab w:val="clear" w:pos="720"/>
                                <w:tab w:val="left" w:pos="180" w:leader="none"/>
                              </w:tabs>
                              <w:spacing w:before="0" w:after="120"/>
                              <w:ind w:hanging="187" w:start="187" w:end="0"/>
                              <w:rPr/>
                            </w:pPr>
                            <w:r>
                              <w:rPr/>
                              <w:t>Two offers made (1 Admin, 1 Snr Spec for Stephen Bell’s team) and accepted.  Start dates TBA.</w:t>
                            </w:r>
                          </w:p>
                          <w:p>
                            <w:pPr>
                              <w:pStyle w:val="BodyText"/>
                              <w:numPr>
                                <w:ilvl w:val="0"/>
                                <w:numId w:val="5"/>
                              </w:numPr>
                              <w:tabs>
                                <w:tab w:val="clear" w:pos="720"/>
                                <w:tab w:val="left" w:pos="180" w:leader="none"/>
                              </w:tabs>
                              <w:spacing w:before="0" w:after="120"/>
                              <w:ind w:hanging="187" w:start="187" w:end="0"/>
                              <w:rPr/>
                            </w:pPr>
                            <w:r>
                              <w:rPr/>
                              <w:t>Recruitment drive continues: approx 5 interviews per week for the team.</w:t>
                            </w:r>
                          </w:p>
                          <w:p>
                            <w:pPr>
                              <w:pStyle w:val="BodyText"/>
                              <w:spacing w:before="0" w:after="120"/>
                              <w:rPr/>
                            </w:pPr>
                            <w:r>
                              <w:rPr/>
                            </w:r>
                          </w:p>
                        </w:txbxContent>
                      </wps:txbx>
                      <wps:bodyPr anchor="t" lIns="92075" tIns="46355" rIns="92075" bIns="46355">
                        <a:noAutofit/>
                      </wps:bodyPr>
                    </wps:wsp>
                  </a:graphicData>
                </a:graphic>
              </wp:anchor>
            </w:drawing>
          </mc:Choice>
          <mc:Fallback>
            <w:pict>
              <v:rect fillcolor="#FFFFFF" style="position:absolute;rotation:-0;width:180pt;height:171pt;mso-wrap-distance-left:9.05pt;mso-wrap-distance-right:9.05pt;mso-wrap-distance-top:0pt;mso-wrap-distance-bottom:0pt;margin-top:10pt;mso-position-vertical-relative:text;margin-left:315pt;mso-position-horizontal-relative:text">
                <v:textbox inset="0.100694444444444in,0.0506944444444444in,0.100694444444444in,0.0506944444444444in">
                  <w:txbxContent>
                    <w:p>
                      <w:pPr>
                        <w:pStyle w:val="Heading4"/>
                        <w:ind w:hanging="0" w:start="0"/>
                        <w:rPr/>
                      </w:pPr>
                      <w:r>
                        <w:rPr/>
                        <w:t>Staffing Headlines - April</w:t>
                      </w:r>
                    </w:p>
                    <w:p>
                      <w:pPr>
                        <w:pStyle w:val="Normal"/>
                        <w:rPr>
                          <w:sz w:val="16"/>
                          <w:lang w:val="en-GB"/>
                        </w:rPr>
                      </w:pPr>
                      <w:r>
                        <w:rPr>
                          <w:sz w:val="16"/>
                          <w:lang w:val="en-GB"/>
                        </w:rPr>
                      </w:r>
                    </w:p>
                    <w:p>
                      <w:pPr>
                        <w:pStyle w:val="BodyText"/>
                        <w:numPr>
                          <w:ilvl w:val="0"/>
                          <w:numId w:val="5"/>
                        </w:numPr>
                        <w:tabs>
                          <w:tab w:val="clear" w:pos="720"/>
                          <w:tab w:val="left" w:pos="180" w:leader="none"/>
                        </w:tabs>
                        <w:spacing w:before="0" w:after="120"/>
                        <w:ind w:hanging="187" w:start="187" w:end="0"/>
                        <w:rPr/>
                      </w:pPr>
                      <w:r>
                        <w:rPr/>
                        <w:t>Ray Dollman, UK Power, left Enron.  Recruitment for replacement underway.</w:t>
                      </w:r>
                    </w:p>
                    <w:p>
                      <w:pPr>
                        <w:pStyle w:val="BodyText"/>
                        <w:numPr>
                          <w:ilvl w:val="0"/>
                          <w:numId w:val="5"/>
                        </w:numPr>
                        <w:tabs>
                          <w:tab w:val="clear" w:pos="720"/>
                          <w:tab w:val="left" w:pos="180" w:leader="none"/>
                        </w:tabs>
                        <w:spacing w:before="0" w:after="120"/>
                        <w:ind w:hanging="187" w:start="187" w:end="0"/>
                        <w:rPr/>
                      </w:pPr>
                      <w:r>
                        <w:rPr/>
                        <w:t>Anthony Smith (Admin) joined UK Power.</w:t>
                      </w:r>
                    </w:p>
                    <w:p>
                      <w:pPr>
                        <w:pStyle w:val="BodyText"/>
                        <w:numPr>
                          <w:ilvl w:val="0"/>
                          <w:numId w:val="5"/>
                        </w:numPr>
                        <w:tabs>
                          <w:tab w:val="clear" w:pos="720"/>
                          <w:tab w:val="left" w:pos="180" w:leader="none"/>
                        </w:tabs>
                        <w:spacing w:before="0" w:after="120"/>
                        <w:ind w:hanging="187" w:start="187" w:end="0"/>
                        <w:rPr/>
                      </w:pPr>
                      <w:r>
                        <w:rPr/>
                        <w:t>Two offers made (1 Admin, 1 Snr Spec for Stephen Bell’s team) and accepted.  Start dates TBA.</w:t>
                      </w:r>
                    </w:p>
                    <w:p>
                      <w:pPr>
                        <w:pStyle w:val="BodyText"/>
                        <w:numPr>
                          <w:ilvl w:val="0"/>
                          <w:numId w:val="5"/>
                        </w:numPr>
                        <w:tabs>
                          <w:tab w:val="clear" w:pos="720"/>
                          <w:tab w:val="left" w:pos="180" w:leader="none"/>
                        </w:tabs>
                        <w:spacing w:before="0" w:after="120"/>
                        <w:ind w:hanging="187" w:start="187" w:end="0"/>
                        <w:rPr/>
                      </w:pPr>
                      <w:r>
                        <w:rPr/>
                        <w:t>Recruitment drive continues: approx 5 interviews per week for the team.</w:t>
                      </w:r>
                    </w:p>
                    <w:p>
                      <w:pPr>
                        <w:pStyle w:val="BodyText"/>
                        <w:spacing w:before="0" w:after="120"/>
                        <w:rPr/>
                      </w:pPr>
                      <w:r>
                        <w:rPr/>
                      </w:r>
                    </w:p>
                  </w:txbxContent>
                </v:textbox>
                <w10:wrap type="none"/>
              </v:rect>
            </w:pict>
          </mc:Fallback>
        </mc:AlternateContent>
      </w:r>
    </w:p>
    <w:p>
      <w:pPr>
        <w:pStyle w:val="Normal"/>
        <w:rPr/>
      </w:pPr>
      <w:r>
        <w:rPr/>
        <w:object w:dxaOrig="6401" w:dyaOrig="35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7pt;height:177pt" filled="f" o:ole="">
            <v:imagedata r:id="rId3" o:title=""/>
          </v:shape>
          <o:OLEObject Type="Embed" ProgID="Excel.Sheet.12" ShapeID="ole_rId2" DrawAspect="Content" ObjectID="_1530047506" r:id="rId2"/>
        </w:object>
      </w:r>
    </w:p>
    <w:p>
      <w:pPr>
        <w:pStyle w:val="Normal"/>
        <w:rPr/>
      </w:pPr>
      <w:r>
        <w:rPr/>
      </w:r>
    </w:p>
    <w:p>
      <w:pPr>
        <w:pStyle w:val="Heading3"/>
        <w:ind w:hanging="0" w:start="0"/>
        <w:rPr>
          <w:caps w:val="false"/>
          <w:smallCaps w:val="false"/>
        </w:rPr>
      </w:pPr>
      <w:r>
        <w:rPr>
          <w:caps w:val="false"/>
          <w:smallCaps w:val="false"/>
        </w:rPr>
        <w:t>Recruitment, Retention, Attrition &amp; Experience Statistics</w:t>
      </w:r>
    </w:p>
    <w:p>
      <w:pPr>
        <w:pStyle w:val="Normal"/>
        <w:rPr>
          <w:smallCaps/>
          <w:lang w:val="en-GB"/>
        </w:rPr>
      </w:pPr>
      <w:r>
        <w:rPr>
          <w:smallCaps/>
          <w:lang w:val="en-GB"/>
        </w:rPr>
      </w:r>
    </w:p>
    <w:tbl>
      <w:tblPr>
        <w:tblW w:w="8784" w:type="dxa"/>
        <w:jc w:val="start"/>
        <w:tblInd w:w="0" w:type="dxa"/>
        <w:tblLayout w:type="fixed"/>
        <w:tblCellMar>
          <w:top w:w="0" w:type="dxa"/>
          <w:start w:w="108" w:type="dxa"/>
          <w:bottom w:w="0" w:type="dxa"/>
          <w:end w:w="108" w:type="dxa"/>
        </w:tblCellMar>
      </w:tblPr>
      <w:tblGrid>
        <w:gridCol w:w="2662"/>
        <w:gridCol w:w="533"/>
        <w:gridCol w:w="528"/>
        <w:gridCol w:w="501"/>
        <w:gridCol w:w="492"/>
        <w:gridCol w:w="528"/>
        <w:gridCol w:w="501"/>
        <w:gridCol w:w="472"/>
        <w:gridCol w:w="545"/>
        <w:gridCol w:w="510"/>
        <w:gridCol w:w="483"/>
        <w:gridCol w:w="519"/>
        <w:gridCol w:w="510"/>
      </w:tblGrid>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Jan</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Feb</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Mar</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Apr</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May</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Jun</w:t>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Jul</w:t>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Aug</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Sep</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Oct</w:t>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Nov</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Dec</w:t>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Initial Headcount</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17</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17</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15</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18</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Enron Commercial</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Enron non-Commercial</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(3)</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Management initiated</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Leavers – Voluntary other</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New Joiners – from within Enron</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New Joiners – external new hires</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4</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Temporary Staff</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Final Headcount</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17</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15</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18</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19</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r>
        <w:trPr/>
        <w:tc>
          <w:tcPr>
            <w:tcW w:w="266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Average Experience (months) </w:t>
            </w:r>
          </w:p>
        </w:tc>
        <w:tc>
          <w:tcPr>
            <w:tcW w:w="5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9.7</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9.8</w:t>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8.0</w:t>
            </w:r>
          </w:p>
        </w:tc>
        <w:tc>
          <w:tcPr>
            <w:tcW w:w="4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8.1</w:t>
            </w:r>
          </w:p>
        </w:tc>
        <w:tc>
          <w:tcPr>
            <w:tcW w:w="5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7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lang w:val="en-GB"/>
              </w:rPr>
            </w:pPr>
            <w:r>
              <w:rPr>
                <w:sz w:val="16"/>
                <w:lang w:val="en-GB"/>
              </w:rPr>
            </w:r>
          </w:p>
        </w:tc>
      </w:tr>
    </w:tbl>
    <w:p>
      <w:pPr>
        <w:pStyle w:val="Normal"/>
        <w:rPr>
          <w:lang w:val="en-GB"/>
        </w:rPr>
      </w:pPr>
      <w:r>
        <w:rPr>
          <w:lang w:val="en-GB"/>
        </w:rPr>
      </w:r>
    </w:p>
    <w:p>
      <w:pPr>
        <w:pStyle w:val="Heading3"/>
        <w:ind w:hanging="0" w:start="0"/>
        <w:rPr>
          <w:caps w:val="false"/>
          <w:smallCaps w:val="false"/>
        </w:rPr>
      </w:pPr>
      <w:r>
        <w:rPr>
          <w:caps w:val="false"/>
          <w:smallCaps w:val="false"/>
        </w:rPr>
        <w:t>Volume Statistics</w:t>
      </w:r>
      <w:r>
        <mc:AlternateContent>
          <mc:Choice Requires="wps">
            <w:drawing>
              <wp:anchor behindDoc="0" distT="0" distB="0" distL="114935" distR="114935" simplePos="0" locked="0" layoutInCell="1" allowOverlap="1" relativeHeight="9">
                <wp:simplePos x="0" y="0"/>
                <wp:positionH relativeFrom="column">
                  <wp:posOffset>3543300</wp:posOffset>
                </wp:positionH>
                <wp:positionV relativeFrom="paragraph">
                  <wp:posOffset>120650</wp:posOffset>
                </wp:positionV>
                <wp:extent cx="2628900" cy="2339975"/>
                <wp:effectExtent l="0" t="0" r="0" b="0"/>
                <wp:wrapNone/>
                <wp:docPr id="2" name="Frame2"/>
                <a:graphic xmlns:a="http://schemas.openxmlformats.org/drawingml/2006/main">
                  <a:graphicData uri="http://schemas.microsoft.com/office/word/2010/wordprocessingShape">
                    <wps:wsp>
                      <wps:cNvSpPr txBox="1"/>
                      <wps:spPr>
                        <a:xfrm>
                          <a:off x="0" y="0"/>
                          <a:ext cx="2628900" cy="2339975"/>
                        </a:xfrm>
                        <a:prstGeom prst="rect"/>
                        <a:solidFill>
                          <a:srgbClr val="FFFFFF"/>
                        </a:solidFill>
                      </wps:spPr>
                      <wps:txbx>
                        <w:txbxContent>
                          <w:p>
                            <w:pPr>
                              <w:pStyle w:val="Heading4"/>
                              <w:ind w:hanging="0" w:start="0"/>
                              <w:rPr/>
                            </w:pPr>
                            <w:r>
                              <w:rPr/>
                              <w:t>Other Headlines - April</w:t>
                            </w:r>
                          </w:p>
                          <w:tbl>
                            <w:tblPr>
                              <w:tblW w:w="3888" w:type="dxa"/>
                              <w:jc w:val="start"/>
                              <w:tblInd w:w="0" w:type="dxa"/>
                              <w:tblLayout w:type="fixed"/>
                              <w:tblCellMar>
                                <w:top w:w="0" w:type="dxa"/>
                                <w:start w:w="108" w:type="dxa"/>
                                <w:bottom w:w="0" w:type="dxa"/>
                                <w:end w:w="108" w:type="dxa"/>
                              </w:tblCellMar>
                            </w:tblPr>
                            <w:tblGrid>
                              <w:gridCol w:w="1885"/>
                              <w:gridCol w:w="581"/>
                              <w:gridCol w:w="581"/>
                              <w:gridCol w:w="841"/>
                            </w:tblGrid>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Mar</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April</w:t>
                                  </w:r>
                                </w:p>
                              </w:tc>
                              <w:tc>
                                <w:tcPr>
                                  <w:tcW w:w="8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lang w:val="en-GB"/>
                                    </w:rPr>
                                  </w:pPr>
                                  <w:r>
                                    <w:rPr>
                                      <w:sz w:val="16"/>
                                      <w:lang w:val="en-GB"/>
                                    </w:rPr>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Hours Overtime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34</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42</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3366FF"/>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 rate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00FF00"/>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20%</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5%</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00FF00"/>
                                      <w:lang w:val="en-GB"/>
                                    </w:rPr>
                                  </w:pPr>
                                  <w:r>
                                    <w:rPr>
                                      <w:rFonts w:eastAsia="Marlett" w:cs="Marlett" w:ascii="Marlett" w:hAnsi="Marlett"/>
                                      <w:color w:val="00FF00"/>
                                      <w:lang w:val="en-GB"/>
                                    </w:rPr>
                                    <w:sym w:font="Marlett" w:char="f06e"/>
                                  </w:r>
                                  <w:r>
                                    <w:rPr>
                                      <w:rFonts w:eastAsia="Arial"/>
                                      <w:color w:val="00FF00"/>
                                      <w:lang w:val="en-GB"/>
                                    </w:rPr>
                                    <w:t xml:space="preserve"> </w:t>
                                  </w:r>
                                  <w:r>
                                    <w:rPr>
                                      <w:color w:val="00FF00"/>
                                      <w:sz w:val="16"/>
                                      <w:lang w:val="en-GB"/>
                                    </w:rPr>
                                    <w:t>G</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Experience (mo)</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8.0</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8.1</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FF0000"/>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r>
                          </w:tbl>
                          <w:p>
                            <w:pPr>
                              <w:pStyle w:val="Normal"/>
                              <w:rPr>
                                <w:sz w:val="16"/>
                                <w:lang w:val="en-GB"/>
                              </w:rPr>
                            </w:pPr>
                            <w:r>
                              <w:rPr>
                                <w:sz w:val="16"/>
                                <w:lang w:val="en-GB"/>
                              </w:rPr>
                            </w:r>
                          </w:p>
                          <w:p>
                            <w:pPr>
                              <w:pStyle w:val="Heading4"/>
                              <w:ind w:hanging="0" w:start="0"/>
                              <w:rPr/>
                            </w:pPr>
                            <w:r>
                              <w:rPr/>
                              <w:t>Trigger Levels</w:t>
                            </w:r>
                          </w:p>
                          <w:tbl>
                            <w:tblPr>
                              <w:tblW w:w="3543" w:type="dxa"/>
                              <w:jc w:val="start"/>
                              <w:tblInd w:w="0" w:type="dxa"/>
                              <w:tblLayout w:type="fixed"/>
                              <w:tblCellMar>
                                <w:top w:w="0" w:type="dxa"/>
                                <w:start w:w="108" w:type="dxa"/>
                                <w:bottom w:w="0" w:type="dxa"/>
                                <w:end w:w="108" w:type="dxa"/>
                              </w:tblCellMar>
                            </w:tblPr>
                            <w:tblGrid>
                              <w:gridCol w:w="1559"/>
                              <w:gridCol w:w="630"/>
                              <w:gridCol w:w="630"/>
                              <w:gridCol w:w="724"/>
                            </w:tblGrid>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rFonts w:eastAsia="Marlett" w:cs="Marlett" w:ascii="Marlett" w:hAnsi="Marlett"/>
                                      <w:color w:val="00FF00"/>
                                      <w:lang w:val="en-GB"/>
                                    </w:rPr>
                                    <w:sym w:font="Marlett" w:char="f06e"/>
                                  </w:r>
                                  <w:r>
                                    <w:rPr>
                                      <w:rFonts w:eastAsia="Arial"/>
                                      <w:color w:val="00FF00"/>
                                      <w:lang w:val="en-GB"/>
                                    </w:rPr>
                                    <w:t xml:space="preserve"> </w:t>
                                  </w:r>
                                  <w:r>
                                    <w:rPr>
                                      <w:color w:val="00FF00"/>
                                      <w:sz w:val="16"/>
                                      <w:lang w:val="en-GB"/>
                                    </w:rPr>
                                    <w:t>G</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Overtime</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&gt;40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&lt;=20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&gt;10%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&lt;=10%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Avg Experience </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&lt;12</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&gt;=12</w:t>
                                  </w:r>
                                </w:p>
                              </w:tc>
                            </w:tr>
                          </w:tbl>
                          <w:p>
                            <w:pPr>
                              <w:pStyle w:val="Normal"/>
                              <w:rPr>
                                <w:lang w:val="en-GB"/>
                              </w:rPr>
                            </w:pPr>
                            <w:r>
                              <w:rPr>
                                <w:lang w:val="en-GB"/>
                              </w:rPr>
                            </w:r>
                          </w:p>
                        </w:txbxContent>
                      </wps:txbx>
                      <wps:bodyPr anchor="t" lIns="92075" tIns="46355" rIns="92075" bIns="46355">
                        <a:noAutofit/>
                      </wps:bodyPr>
                    </wps:wsp>
                  </a:graphicData>
                </a:graphic>
              </wp:anchor>
            </w:drawing>
          </mc:Choice>
          <mc:Fallback>
            <w:pict>
              <v:rect fillcolor="#FFFFFF" style="position:absolute;rotation:-0;width:207pt;height:184.25pt;mso-wrap-distance-left:9.05pt;mso-wrap-distance-right:9.05pt;mso-wrap-distance-top:0pt;mso-wrap-distance-bottom:0pt;margin-top:9.5pt;mso-position-vertical-relative:text;margin-left:279pt;mso-position-horizontal-relative:text">
                <v:textbox inset="0.100694444444444in,0.0506944444444444in,0.100694444444444in,0.0506944444444444in">
                  <w:txbxContent>
                    <w:p>
                      <w:pPr>
                        <w:pStyle w:val="Heading4"/>
                        <w:ind w:hanging="0" w:start="0"/>
                        <w:rPr/>
                      </w:pPr>
                      <w:r>
                        <w:rPr/>
                        <w:t>Other Headlines - April</w:t>
                      </w:r>
                    </w:p>
                    <w:tbl>
                      <w:tblPr>
                        <w:tblW w:w="3888" w:type="dxa"/>
                        <w:jc w:val="start"/>
                        <w:tblInd w:w="0" w:type="dxa"/>
                        <w:tblLayout w:type="fixed"/>
                        <w:tblCellMar>
                          <w:top w:w="0" w:type="dxa"/>
                          <w:start w:w="108" w:type="dxa"/>
                          <w:bottom w:w="0" w:type="dxa"/>
                          <w:end w:w="108" w:type="dxa"/>
                        </w:tblCellMar>
                      </w:tblPr>
                      <w:tblGrid>
                        <w:gridCol w:w="1885"/>
                        <w:gridCol w:w="581"/>
                        <w:gridCol w:w="581"/>
                        <w:gridCol w:w="841"/>
                      </w:tblGrid>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Mar</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April</w:t>
                            </w:r>
                          </w:p>
                        </w:tc>
                        <w:tc>
                          <w:tcPr>
                            <w:tcW w:w="84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6"/>
                                <w:lang w:val="en-GB"/>
                              </w:rPr>
                            </w:pPr>
                            <w:r>
                              <w:rPr>
                                <w:sz w:val="16"/>
                                <w:lang w:val="en-GB"/>
                              </w:rPr>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Hours Overtime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34</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42</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3366FF"/>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 rate</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00FF00"/>
                                <w:lang w:val="en-GB"/>
                              </w:rPr>
                            </w:pPr>
                            <w:r>
                              <w:rPr>
                                <w:rFonts w:eastAsia="Marlett" w:cs="Marlett" w:ascii="Marlett" w:hAnsi="Marlett"/>
                                <w:color w:val="3366FF"/>
                                <w:lang w:val="en-GB"/>
                              </w:rPr>
                              <w:sym w:font="Marlett" w:char="f06e"/>
                            </w:r>
                            <w:r>
                              <w:rPr>
                                <w:rFonts w:eastAsia="Arial"/>
                                <w:color w:val="3366FF"/>
                                <w:lang w:val="en-GB"/>
                              </w:rPr>
                              <w:t xml:space="preserve"> </w:t>
                            </w:r>
                            <w:r>
                              <w:rPr>
                                <w:color w:val="3366FF"/>
                                <w:sz w:val="16"/>
                                <w:lang w:val="en-GB"/>
                              </w:rPr>
                              <w:t>B</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20%</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5%</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00FF00"/>
                                <w:lang w:val="en-GB"/>
                              </w:rPr>
                            </w:pPr>
                            <w:r>
                              <w:rPr>
                                <w:rFonts w:eastAsia="Marlett" w:cs="Marlett" w:ascii="Marlett" w:hAnsi="Marlett"/>
                                <w:color w:val="00FF00"/>
                                <w:lang w:val="en-GB"/>
                              </w:rPr>
                              <w:sym w:font="Marlett" w:char="f06e"/>
                            </w:r>
                            <w:r>
                              <w:rPr>
                                <w:rFonts w:eastAsia="Arial"/>
                                <w:color w:val="00FF00"/>
                                <w:lang w:val="en-GB"/>
                              </w:rPr>
                              <w:t xml:space="preserve"> </w:t>
                            </w:r>
                            <w:r>
                              <w:rPr>
                                <w:color w:val="00FF00"/>
                                <w:sz w:val="16"/>
                                <w:lang w:val="en-GB"/>
                              </w:rPr>
                              <w:t>G</w:t>
                            </w:r>
                          </w:p>
                        </w:tc>
                      </w:tr>
                      <w:tr>
                        <w:trPr/>
                        <w:tc>
                          <w:tcPr>
                            <w:tcW w:w="188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Avg Experience (mo)</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8.0</w:t>
                            </w:r>
                          </w:p>
                        </w:tc>
                        <w:tc>
                          <w:tcPr>
                            <w:tcW w:w="5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8.1</w:t>
                            </w:r>
                          </w:p>
                        </w:tc>
                        <w:tc>
                          <w:tcPr>
                            <w:tcW w:w="841" w:type="dxa"/>
                            <w:tcBorders>
                              <w:top w:val="single" w:sz="4" w:space="0" w:color="000000"/>
                              <w:start w:val="single" w:sz="4" w:space="0" w:color="000000"/>
                              <w:bottom w:val="single" w:sz="4" w:space="0" w:color="000000"/>
                              <w:end w:val="single" w:sz="4" w:space="0" w:color="000000"/>
                            </w:tcBorders>
                          </w:tcPr>
                          <w:p>
                            <w:pPr>
                              <w:pStyle w:val="Normal"/>
                              <w:jc w:val="center"/>
                              <w:rPr>
                                <w:color w:val="FF0000"/>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r>
                    </w:tbl>
                    <w:p>
                      <w:pPr>
                        <w:pStyle w:val="Normal"/>
                        <w:rPr>
                          <w:sz w:val="16"/>
                          <w:lang w:val="en-GB"/>
                        </w:rPr>
                      </w:pPr>
                      <w:r>
                        <w:rPr>
                          <w:sz w:val="16"/>
                          <w:lang w:val="en-GB"/>
                        </w:rPr>
                      </w:r>
                    </w:p>
                    <w:p>
                      <w:pPr>
                        <w:pStyle w:val="Heading4"/>
                        <w:ind w:hanging="0" w:start="0"/>
                        <w:rPr/>
                      </w:pPr>
                      <w:r>
                        <w:rPr/>
                        <w:t>Trigger Levels</w:t>
                      </w:r>
                    </w:p>
                    <w:tbl>
                      <w:tblPr>
                        <w:tblW w:w="3543" w:type="dxa"/>
                        <w:jc w:val="start"/>
                        <w:tblInd w:w="0" w:type="dxa"/>
                        <w:tblLayout w:type="fixed"/>
                        <w:tblCellMar>
                          <w:top w:w="0" w:type="dxa"/>
                          <w:start w:w="108" w:type="dxa"/>
                          <w:bottom w:w="0" w:type="dxa"/>
                          <w:end w:w="108" w:type="dxa"/>
                        </w:tblCellMar>
                      </w:tblPr>
                      <w:tblGrid>
                        <w:gridCol w:w="1559"/>
                        <w:gridCol w:w="630"/>
                        <w:gridCol w:w="630"/>
                        <w:gridCol w:w="724"/>
                      </w:tblGrid>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0000"/>
                                <w:lang w:val="en-GB"/>
                              </w:rPr>
                              <w:sym w:font="Marlett" w:char="f06e"/>
                            </w:r>
                            <w:r>
                              <w:rPr>
                                <w:rFonts w:eastAsia="Arial"/>
                                <w:color w:val="FF0000"/>
                                <w:lang w:val="en-GB"/>
                              </w:rPr>
                              <w:t xml:space="preserve"> </w:t>
                            </w:r>
                            <w:r>
                              <w:rPr>
                                <w:color w:val="FF0000"/>
                                <w:sz w:val="16"/>
                                <w:lang w:val="en-GB"/>
                              </w:rPr>
                              <w:t>R</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rFonts w:eastAsia="Marlett" w:cs="Marlett" w:ascii="Marlett" w:hAnsi="Marlett"/>
                                <w:color w:val="FFFF00"/>
                                <w:lang w:val="en-GB"/>
                              </w:rPr>
                              <w:sym w:font="Marlett" w:char="f06e"/>
                            </w:r>
                            <w:r>
                              <w:rPr>
                                <w:rFonts w:eastAsia="Arial"/>
                                <w:color w:val="FFFF00"/>
                                <w:lang w:val="en-GB"/>
                              </w:rPr>
                              <w:t xml:space="preserve"> </w:t>
                            </w:r>
                            <w:r>
                              <w:rPr>
                                <w:color w:val="FFFF00"/>
                                <w:sz w:val="16"/>
                                <w:lang w:val="en-GB"/>
                              </w:rPr>
                              <w:t>Y</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rFonts w:eastAsia="Marlett" w:cs="Marlett" w:ascii="Marlett" w:hAnsi="Marlett"/>
                                <w:color w:val="00FF00"/>
                                <w:lang w:val="en-GB"/>
                              </w:rPr>
                              <w:sym w:font="Marlett" w:char="f06e"/>
                            </w:r>
                            <w:r>
                              <w:rPr>
                                <w:rFonts w:eastAsia="Arial"/>
                                <w:color w:val="00FF00"/>
                                <w:lang w:val="en-GB"/>
                              </w:rPr>
                              <w:t xml:space="preserve"> </w:t>
                            </w:r>
                            <w:r>
                              <w:rPr>
                                <w:color w:val="00FF00"/>
                                <w:sz w:val="16"/>
                                <w:lang w:val="en-GB"/>
                              </w:rPr>
                              <w:t>G</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Overtime</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&gt;40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&lt;=20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Counterparties</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tbd</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tbd</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Attrition</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&gt;20%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&gt;10%</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&lt;=10%</w:t>
                            </w:r>
                          </w:p>
                        </w:tc>
                      </w:tr>
                      <w:tr>
                        <w:trPr/>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xml:space="preserve">Avg Experience </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lang w:val="en-GB"/>
                              </w:rPr>
                            </w:pPr>
                            <w:r>
                              <w:rPr>
                                <w:sz w:val="16"/>
                                <w:lang w:val="en-GB"/>
                              </w:rPr>
                              <w:t>&lt;12</w:t>
                            </w:r>
                          </w:p>
                        </w:tc>
                        <w:tc>
                          <w:tcPr>
                            <w:tcW w:w="724" w:type="dxa"/>
                            <w:tcBorders>
                              <w:top w:val="single" w:sz="4" w:space="0" w:color="000000"/>
                              <w:start w:val="single" w:sz="4" w:space="0" w:color="000000"/>
                              <w:bottom w:val="single" w:sz="4" w:space="0" w:color="000000"/>
                              <w:end w:val="single" w:sz="4" w:space="0" w:color="000000"/>
                            </w:tcBorders>
                          </w:tcPr>
                          <w:p>
                            <w:pPr>
                              <w:pStyle w:val="Normal"/>
                              <w:jc w:val="center"/>
                              <w:rPr>
                                <w:sz w:val="16"/>
                                <w:lang w:val="en-GB"/>
                              </w:rPr>
                            </w:pPr>
                            <w:r>
                              <w:rPr>
                                <w:sz w:val="16"/>
                                <w:lang w:val="en-GB"/>
                              </w:rPr>
                              <w:t>&gt;=12</w:t>
                            </w:r>
                          </w:p>
                        </w:tc>
                      </w:tr>
                    </w:tbl>
                    <w:p>
                      <w:pPr>
                        <w:pStyle w:val="Normal"/>
                        <w:rPr>
                          <w:lang w:val="en-GB"/>
                        </w:rPr>
                      </w:pPr>
                      <w:r>
                        <w:rPr>
                          <w:lang w:val="en-GB"/>
                        </w:rPr>
                      </w:r>
                    </w:p>
                  </w:txbxContent>
                </v:textbox>
                <w10:wrap type="none"/>
              </v:rect>
            </w:pict>
          </mc:Fallback>
        </mc:AlternateContent>
      </w:r>
    </w:p>
    <w:p>
      <w:pPr>
        <w:pStyle w:val="Normal"/>
        <w:rPr/>
      </w:pPr>
      <w:r>
        <w:rPr/>
        <w:object w:dxaOrig="5121" w:dyaOrig="332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2pt;height:168.7pt" filled="f" o:ole="">
            <v:imagedata r:id="rId5" o:title=""/>
          </v:shape>
          <o:OLEObject Type="Embed" ProgID="Excel.Sheet.12" ShapeID="ole_rId4" DrawAspect="Content" ObjectID="_1779059675" r:id="rId4"/>
        </w:object>
      </w:r>
    </w:p>
    <w:p>
      <w:pPr>
        <w:pStyle w:val="Normal"/>
        <w:rPr/>
      </w:pPr>
      <w:r>
        <w:rPr/>
      </w:r>
    </w:p>
    <w:p>
      <w:pPr>
        <w:pStyle w:val="Heading3"/>
        <w:ind w:hanging="0" w:start="0"/>
        <w:rPr>
          <w:caps w:val="false"/>
          <w:smallCaps w:val="false"/>
          <w:lang w:val="en-US"/>
        </w:rPr>
      </w:pPr>
      <w:r>
        <w:rPr>
          <w:caps w:val="false"/>
          <w:smallCaps w:val="false"/>
          <w:lang w:val="en-US"/>
        </w:rPr>
        <w:t>2001 Project status &amp; Commentary</w:t>
      </w:r>
    </w:p>
    <w:p>
      <w:pPr>
        <w:pStyle w:val="Normal"/>
        <w:rPr>
          <w:smallCaps/>
          <w:lang w:val="en-US"/>
        </w:rPr>
      </w:pPr>
      <w:r>
        <w:rPr>
          <w:smallCaps/>
          <w:lang w:val="en-US"/>
        </w:rPr>
      </w:r>
    </w:p>
    <w:tbl>
      <w:tblPr>
        <w:tblW w:w="9828" w:type="dxa"/>
        <w:jc w:val="start"/>
        <w:tblInd w:w="0" w:type="dxa"/>
        <w:tblLayout w:type="fixed"/>
        <w:tblCellMar>
          <w:top w:w="0" w:type="dxa"/>
          <w:start w:w="108" w:type="dxa"/>
          <w:bottom w:w="0" w:type="dxa"/>
          <w:end w:w="108" w:type="dxa"/>
        </w:tblCellMar>
      </w:tblPr>
      <w:tblGrid>
        <w:gridCol w:w="3012"/>
        <w:gridCol w:w="516"/>
        <w:gridCol w:w="6300"/>
      </w:tblGrid>
      <w:tr>
        <w:trPr/>
        <w:tc>
          <w:tcPr>
            <w:tcW w:w="301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Structured deal handover to CM</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FF00"/>
                <w:sz w:val="16"/>
                <w:lang w:val="en-GB"/>
              </w:rPr>
            </w:pPr>
            <w:r>
              <w:rPr>
                <w:rFonts w:eastAsia="Marlett" w:cs="Marlett" w:ascii="Marlett" w:hAnsi="Marlett"/>
                <w:color w:val="00FF00"/>
                <w:lang w:val="en-GB"/>
              </w:rPr>
              <w:sym w:font="Marlett" w:char="f06e"/>
            </w:r>
          </w:p>
        </w:tc>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On target.  R&amp;Rs to be documented.</w:t>
            </w:r>
          </w:p>
        </w:tc>
      </w:tr>
      <w:tr>
        <w:trPr/>
        <w:tc>
          <w:tcPr>
            <w:tcW w:w="301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NETA Implementation</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3366FF"/>
                <w:lang w:val="en-GB"/>
              </w:rPr>
            </w:pPr>
            <w:r>
              <w:rPr>
                <w:rFonts w:eastAsia="Marlett" w:cs="Marlett" w:ascii="Marlett" w:hAnsi="Marlett"/>
                <w:color w:val="FFFF00"/>
                <w:lang w:val="en-GB"/>
              </w:rPr>
              <w:sym w:font="Marlett" w:char="f06e"/>
            </w:r>
          </w:p>
        </w:tc>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UAT not completed.  Daily reporting implemented</w:t>
            </w:r>
          </w:p>
        </w:tc>
      </w:tr>
      <w:tr>
        <w:trPr/>
        <w:tc>
          <w:tcPr>
            <w:tcW w:w="301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Accrual / Credit Process</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3366FF"/>
                <w:sz w:val="16"/>
                <w:lang w:val="en-GB"/>
              </w:rPr>
            </w:pPr>
            <w:r>
              <w:rPr>
                <w:rFonts w:eastAsia="Marlett" w:cs="Marlett" w:ascii="Marlett" w:hAnsi="Marlett"/>
                <w:color w:val="3366FF"/>
                <w:lang w:val="en-GB"/>
              </w:rPr>
              <w:sym w:font="Marlett" w:char="f06e"/>
            </w:r>
          </w:p>
        </w:tc>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Not yet started.  Awaiting Trade Accounting resources.</w:t>
            </w:r>
          </w:p>
        </w:tc>
      </w:tr>
      <w:tr>
        <w:trPr/>
        <w:tc>
          <w:tcPr>
            <w:tcW w:w="301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Daily Settlements team set-up</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FFFF00"/>
                <w:lang w:val="en-GB"/>
              </w:rPr>
            </w:pPr>
            <w:r>
              <w:rPr>
                <w:rFonts w:eastAsia="Marlett" w:cs="Marlett" w:ascii="Marlett" w:hAnsi="Marlett"/>
                <w:color w:val="FFFF00"/>
                <w:lang w:val="en-GB"/>
              </w:rPr>
              <w:sym w:font="Marlett" w:char="f06e"/>
            </w:r>
          </w:p>
        </w:tc>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Awaiting additional resources</w:t>
            </w:r>
          </w:p>
        </w:tc>
      </w:tr>
      <w:tr>
        <w:trPr/>
        <w:tc>
          <w:tcPr>
            <w:tcW w:w="301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Envoice Implementation</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FFFF"/>
                <w:lang w:val="en-GB"/>
              </w:rPr>
            </w:pPr>
            <w:r>
              <w:rPr>
                <w:rFonts w:eastAsia="Marlett" w:cs="Marlett" w:ascii="Marlett" w:hAnsi="Marlett"/>
                <w:color w:val="FFFF00"/>
                <w:lang w:val="en-GB"/>
              </w:rPr>
              <w:sym w:font="Marlett" w:char="f06e"/>
            </w:r>
          </w:p>
        </w:tc>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Gas implementation delayed to May invoicing due to Operational risks during NETA</w:t>
            </w:r>
          </w:p>
        </w:tc>
      </w:tr>
      <w:tr>
        <w:trPr/>
        <w:tc>
          <w:tcPr>
            <w:tcW w:w="301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Cash Management</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FFFF"/>
                <w:lang w:val="en-GB"/>
              </w:rPr>
            </w:pPr>
            <w:r>
              <w:rPr>
                <w:rFonts w:eastAsia="Marlett" w:cs="Marlett" w:ascii="Marlett" w:hAnsi="Marlett"/>
                <w:color w:val="FFFF00"/>
                <w:lang w:val="en-GB"/>
              </w:rPr>
              <w:sym w:font="Marlett" w:char="f06e"/>
            </w:r>
          </w:p>
        </w:tc>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Review of changes made in TWS - Ongoing</w:t>
            </w:r>
          </w:p>
        </w:tc>
      </w:tr>
      <w:tr>
        <w:trPr/>
        <w:tc>
          <w:tcPr>
            <w:tcW w:w="3012"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VAT Re-engineering</w:t>
            </w:r>
          </w:p>
        </w:tc>
        <w:tc>
          <w:tcPr>
            <w:tcW w:w="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3366FF"/>
                <w:lang w:val="en-GB"/>
              </w:rPr>
            </w:pPr>
            <w:r>
              <w:rPr>
                <w:rFonts w:eastAsia="Marlett" w:cs="Marlett" w:ascii="Marlett" w:hAnsi="Marlett"/>
                <w:color w:val="3366FF"/>
                <w:lang w:val="en-GB"/>
              </w:rPr>
              <w:sym w:font="Marlett" w:char="f06e"/>
            </w:r>
          </w:p>
        </w:tc>
        <w:tc>
          <w:tcPr>
            <w:tcW w:w="630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Not yet started.  Awaiting VAT resource.</w:t>
            </w:r>
          </w:p>
        </w:tc>
      </w:tr>
    </w:tbl>
    <w:p>
      <w:pPr>
        <w:sectPr>
          <w:headerReference w:type="default" r:id="rId6"/>
          <w:footerReference w:type="default" r:id="rId7"/>
          <w:type w:val="nextPage"/>
          <w:pgSz w:w="11906" w:h="16838"/>
          <w:pgMar w:left="1800" w:right="1627" w:gutter="0" w:header="720" w:top="1440" w:footer="720" w:bottom="907"/>
          <w:pgNumType w:fmt="decimal"/>
          <w:formProt w:val="false"/>
          <w:textDirection w:val="lrTb"/>
          <w:docGrid w:type="default" w:linePitch="360" w:charSpace="0"/>
        </w:sectPr>
      </w:pPr>
    </w:p>
    <w:p>
      <w:pPr>
        <w:pStyle w:val="Heading1"/>
        <w:ind w:hanging="0" w:start="0"/>
        <w:jc w:val="center"/>
        <w:rPr/>
      </w:pPr>
      <w:r>
        <w:rPr/>
        <w:t>UK Gas- April 2001 (March Production)</w:t>
      </w:r>
    </w:p>
    <w:p>
      <w:pPr>
        <w:pStyle w:val="Normal"/>
        <w:rPr>
          <w:lang w:val="en-GB"/>
        </w:rPr>
      </w:pPr>
      <w:r>
        <w:rPr>
          <w:lang w:val="en-GB"/>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9006" w:type="dxa"/>
        <w:jc w:val="start"/>
        <w:tblInd w:w="0" w:type="dxa"/>
        <w:tblLayout w:type="fixed"/>
        <w:tblCellMar>
          <w:top w:w="0" w:type="dxa"/>
          <w:start w:w="108" w:type="dxa"/>
          <w:bottom w:w="0" w:type="dxa"/>
          <w:end w:w="108" w:type="dxa"/>
        </w:tblCellMar>
      </w:tblPr>
      <w:tblGrid>
        <w:gridCol w:w="3690"/>
        <w:gridCol w:w="1078"/>
        <w:gridCol w:w="1025"/>
        <w:gridCol w:w="1126"/>
        <w:gridCol w:w="1079"/>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Physical</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Structured</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Financial</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5375</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17</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156</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130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121</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Settlements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3</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No data</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errors/issues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No data</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12%</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Normal"/>
        <w:rPr>
          <w:lang w:val="en-GB"/>
        </w:rPr>
      </w:pPr>
      <w:r>
        <w:rPr>
          <w:lang w:val="en-GB"/>
        </w:rPr>
      </w:r>
    </w:p>
    <w:p>
      <w:pPr>
        <w:pStyle w:val="Heading3"/>
        <w:ind w:hanging="0" w:start="0"/>
        <w:rPr>
          <w:caps w:val="false"/>
          <w:smallCaps w:val="false"/>
        </w:rPr>
      </w:pPr>
      <w:r>
        <w:rPr>
          <w:caps w:val="false"/>
          <w:smallCaps w:val="false"/>
        </w:rPr>
        <w:t>Commentary – Errors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7"/>
        <w:gridCol w:w="1084"/>
        <w:gridCol w:w="5777"/>
        <w:gridCol w:w="1787"/>
      </w:tblGrid>
      <w:tr>
        <w:trPr/>
        <w:tc>
          <w:tcPr>
            <w:tcW w:w="46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084"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77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2</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Failure to fax two invoices – settlement still received/paid in timely fashion.</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Bristol Energy/Enrici</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Brokerage</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Brokerage is up-to-date apart from some outstanding Prebon queries.</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Failure to release payment from SAP.  Interest will be charged by CP under Network Code rules.  Approx £5.</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Transco</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7"/>
        <w:gridCol w:w="950"/>
        <w:gridCol w:w="5896"/>
        <w:gridCol w:w="1802"/>
      </w:tblGrid>
      <w:tr>
        <w:trPr/>
        <w:tc>
          <w:tcPr>
            <w:tcW w:w="46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95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896"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2"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95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Systems</w:t>
            </w:r>
          </w:p>
        </w:tc>
        <w:tc>
          <w:tcPr>
            <w:tcW w:w="589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LOM-SAP interface failure.</w:t>
            </w:r>
          </w:p>
        </w:tc>
        <w:tc>
          <w:tcPr>
            <w:tcW w:w="180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Alliance Gas</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95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(Systems)</w:t>
            </w:r>
          </w:p>
        </w:tc>
        <w:tc>
          <w:tcPr>
            <w:tcW w:w="589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Return of funds to CP.</w:t>
            </w:r>
          </w:p>
        </w:tc>
        <w:tc>
          <w:tcPr>
            <w:tcW w:w="180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TotalFina Elf</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pPr>
      <w:r>
        <w:rPr/>
        <w:object w:dxaOrig="6401" w:dyaOrig="38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33pt;height:197.3pt" filled="f" o:ole="">
            <v:imagedata r:id="rId9" o:title=""/>
          </v:shape>
          <o:OLEObject Type="Embed" ProgID="Excel.Sheet.12" ShapeID="ole_rId8" DrawAspect="Content" ObjectID="_1702818233" r:id="rId8"/>
        </w:object>
      </w:r>
    </w:p>
    <w:p>
      <w:pPr>
        <w:pStyle w:val="Normal"/>
        <w:rPr/>
      </w:pPr>
      <w:r>
        <w:rPr/>
      </w:r>
    </w:p>
    <w:p>
      <w:pPr>
        <w:pStyle w:val="Heading3"/>
        <w:ind w:hanging="0" w:start="0"/>
        <w:rPr>
          <w:caps w:val="false"/>
          <w:smallCaps w:val="false"/>
          <w:lang w:val="en-US"/>
        </w:rPr>
      </w:pPr>
      <w:r>
        <w:rPr>
          <w:caps w:val="false"/>
          <w:smallCaps w:val="false"/>
          <w:lang w:val="en-US"/>
        </w:rPr>
        <w:t>Management Highlights</w:t>
      </w:r>
    </w:p>
    <w:p>
      <w:pPr>
        <w:pStyle w:val="Header"/>
        <w:tabs>
          <w:tab w:val="clear" w:pos="4320"/>
          <w:tab w:val="clear" w:pos="8640"/>
        </w:tabs>
        <w:rPr>
          <w:smallCaps/>
          <w:lang w:val="en-US"/>
        </w:rPr>
      </w:pPr>
      <w:r>
        <w:rPr>
          <w:smallCaps/>
          <w:lang w:val="en-US"/>
        </w:rPr>
      </w:r>
    </w:p>
    <w:p>
      <w:pPr>
        <w:pStyle w:val="Normal"/>
        <w:numPr>
          <w:ilvl w:val="0"/>
          <w:numId w:val="2"/>
        </w:numPr>
        <w:spacing w:before="0" w:after="100"/>
        <w:rPr>
          <w:sz w:val="16"/>
          <w:lang w:val="en-GB"/>
        </w:rPr>
      </w:pPr>
      <w:r>
        <w:rPr>
          <w:b/>
          <w:sz w:val="16"/>
          <w:lang w:val="en-GB"/>
        </w:rPr>
        <w:t>Envoice</w:t>
      </w:r>
      <w:r>
        <w:rPr>
          <w:sz w:val="16"/>
          <w:lang w:val="en-GB"/>
        </w:rPr>
        <w:t>:  Settlements sign-off on EnVoice UAT, but delay implementation due to NETA resourcing issues.  EnVoice will launch with April production invoicing cycle.  There have been further enhancements and these will be UAT week commencing 23</w:t>
      </w:r>
      <w:r>
        <w:rPr>
          <w:sz w:val="16"/>
          <w:vertAlign w:val="superscript"/>
          <w:lang w:val="en-GB"/>
        </w:rPr>
        <w:t>rd</w:t>
      </w:r>
      <w:r>
        <w:rPr>
          <w:sz w:val="16"/>
          <w:lang w:val="en-GB"/>
        </w:rPr>
        <w:t xml:space="preserve"> April 2001.</w:t>
      </w:r>
    </w:p>
    <w:p>
      <w:pPr>
        <w:pStyle w:val="Normal"/>
        <w:numPr>
          <w:ilvl w:val="0"/>
          <w:numId w:val="2"/>
        </w:numPr>
        <w:spacing w:before="0" w:after="100"/>
        <w:rPr>
          <w:sz w:val="16"/>
          <w:lang w:val="en-GB"/>
        </w:rPr>
      </w:pPr>
      <w:r>
        <w:rPr>
          <w:b/>
          <w:sz w:val="16"/>
          <w:lang w:val="en-GB"/>
        </w:rPr>
        <w:t>“</w:t>
      </w:r>
      <w:r>
        <w:rPr>
          <w:b/>
          <w:sz w:val="16"/>
          <w:lang w:val="en-GB"/>
        </w:rPr>
        <w:t xml:space="preserve">Missing deals” </w:t>
      </w:r>
      <w:r>
        <w:rPr>
          <w:sz w:val="16"/>
          <w:lang w:val="en-GB"/>
        </w:rPr>
        <w:t xml:space="preserve">– a new process for managing these missing deals has been proposed by Grace Hagan to ensure accurate &amp; complete capture, preventing additional work downstream and upstream re-work.  Commercial, Risk, Docs &amp; Settlements to discuss. </w:t>
      </w:r>
    </w:p>
    <w:p>
      <w:pPr>
        <w:pStyle w:val="Normal"/>
        <w:numPr>
          <w:ilvl w:val="0"/>
          <w:numId w:val="2"/>
        </w:numPr>
        <w:spacing w:before="0" w:after="100"/>
        <w:rPr>
          <w:sz w:val="16"/>
          <w:lang w:val="en-GB"/>
        </w:rPr>
      </w:pPr>
      <w:r>
        <w:rPr>
          <w:b/>
          <w:sz w:val="16"/>
          <w:lang w:val="en-GB"/>
        </w:rPr>
        <w:t>Defined Roles &amp; Responsibilities</w:t>
      </w:r>
      <w:r>
        <w:rPr>
          <w:sz w:val="16"/>
          <w:lang w:val="en-GB"/>
        </w:rPr>
        <w:t>:  Settlements to produce a document detailing the roles, responsibilities &amp; time frames required between Contract Management and Settlements for the contracts recently handed over.</w:t>
      </w:r>
    </w:p>
    <w:p>
      <w:pPr>
        <w:sectPr>
          <w:headerReference w:type="default" r:id="rId10"/>
          <w:headerReference w:type="first" r:id="rId11"/>
          <w:footerReference w:type="default" r:id="rId12"/>
          <w:footerReference w:type="first" r:id="rId13"/>
          <w:type w:val="nextPage"/>
          <w:pgSz w:w="11906" w:h="16838"/>
          <w:pgMar w:left="1800" w:right="1627" w:gutter="0" w:header="720" w:top="1440" w:footer="720" w:bottom="907"/>
          <w:pgNumType w:fmt="decimal"/>
          <w:formProt w:val="false"/>
          <w:textDirection w:val="lrTb"/>
          <w:docGrid w:type="default" w:linePitch="360" w:charSpace="0"/>
        </w:sectPr>
        <w:pStyle w:val="Normal"/>
        <w:rPr>
          <w:sz w:val="16"/>
          <w:lang w:val="en-GB"/>
        </w:rPr>
      </w:pPr>
      <w:r>
        <w:rPr>
          <w:sz w:val="16"/>
          <w:lang w:val="en-GB"/>
        </w:rPr>
      </w:r>
    </w:p>
    <w:p>
      <w:pPr>
        <w:pStyle w:val="Heading1"/>
        <w:ind w:hanging="0" w:start="0"/>
        <w:jc w:val="center"/>
        <w:rPr/>
      </w:pPr>
      <w:r>
        <w:rPr/>
        <w:t>UK Power- April 2001 (March Production)</w:t>
      </w:r>
    </w:p>
    <w:p>
      <w:pPr>
        <w:pStyle w:val="Normal"/>
        <w:rPr>
          <w:lang w:val="en-GB"/>
        </w:rPr>
      </w:pPr>
      <w:r>
        <w:rPr>
          <w:lang w:val="en-GB"/>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9006" w:type="dxa"/>
        <w:jc w:val="start"/>
        <w:tblInd w:w="0" w:type="dxa"/>
        <w:tblLayout w:type="fixed"/>
        <w:tblCellMar>
          <w:top w:w="0" w:type="dxa"/>
          <w:start w:w="108" w:type="dxa"/>
          <w:bottom w:w="0" w:type="dxa"/>
          <w:end w:w="108" w:type="dxa"/>
        </w:tblCellMar>
      </w:tblPr>
      <w:tblGrid>
        <w:gridCol w:w="3690"/>
        <w:gridCol w:w="1078"/>
        <w:gridCol w:w="1025"/>
        <w:gridCol w:w="1126"/>
        <w:gridCol w:w="1079"/>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Physical</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Structured</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EFA</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2673</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5</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4387</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tbd</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errors/issues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tbd</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 + 1</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tbd</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20%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tbd</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rHeight w:val="70" w:hRule="atLeast"/>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025"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3</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Normal"/>
        <w:rPr>
          <w:lang w:val="en-GB"/>
        </w:rPr>
      </w:pPr>
      <w:r>
        <w:rPr>
          <w:lang w:val="en-GB"/>
        </w:rPr>
      </w:r>
    </w:p>
    <w:p>
      <w:pPr>
        <w:pStyle w:val="Heading3"/>
        <w:ind w:hanging="0" w:start="0"/>
        <w:rPr>
          <w:caps w:val="false"/>
          <w:smallCaps w:val="false"/>
        </w:rPr>
      </w:pPr>
      <w:r>
        <w:rPr>
          <w:caps w:val="false"/>
          <w:smallCaps w:val="false"/>
        </w:rPr>
        <w:t>Commentary – Errors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75"/>
        <w:gridCol w:w="1260"/>
        <w:gridCol w:w="5598"/>
        <w:gridCol w:w="1782"/>
      </w:tblGrid>
      <w:tr>
        <w:trPr/>
        <w:tc>
          <w:tcPr>
            <w:tcW w:w="475"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59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2"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75"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Commercial/</w:t>
            </w:r>
          </w:p>
          <w:p>
            <w:pPr>
              <w:pStyle w:val="Normal"/>
              <w:rPr>
                <w:sz w:val="16"/>
                <w:lang w:val="en-GB"/>
              </w:rPr>
            </w:pPr>
            <w:r>
              <w:rPr>
                <w:sz w:val="16"/>
                <w:lang w:val="en-GB"/>
              </w:rPr>
              <w:t>IT/Risk</w:t>
            </w:r>
          </w:p>
        </w:tc>
        <w:tc>
          <w:tcPr>
            <w:tcW w:w="559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Physicals deals were difficult to reconcile with CPs.  A number of deals required updating in our FO systems- incorrect settlement frequency or strike price.  Deal flipper did not complete the migration of deals completely.</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r>
        <w:trPr/>
        <w:tc>
          <w:tcPr>
            <w:tcW w:w="475"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IT/Risk/</w:t>
            </w:r>
          </w:p>
          <w:p>
            <w:pPr>
              <w:pStyle w:val="Normal"/>
              <w:rPr>
                <w:sz w:val="16"/>
                <w:lang w:val="en-GB"/>
              </w:rPr>
            </w:pPr>
            <w:r>
              <w:rPr>
                <w:sz w:val="16"/>
                <w:lang w:val="en-GB"/>
              </w:rPr>
              <w:t>Commercial/</w:t>
            </w:r>
          </w:p>
          <w:p>
            <w:pPr>
              <w:pStyle w:val="Normal"/>
              <w:rPr>
                <w:sz w:val="16"/>
                <w:lang w:val="en-GB"/>
              </w:rPr>
            </w:pPr>
            <w:r>
              <w:rPr>
                <w:sz w:val="16"/>
                <w:lang w:val="en-GB"/>
              </w:rPr>
              <w:t>Settlements</w:t>
            </w:r>
          </w:p>
        </w:tc>
        <w:tc>
          <w:tcPr>
            <w:tcW w:w="559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BOSS team were unable to effect a systems fix to import the last hour of EFA, attached in EnPower to the physical deals.  EFAs were invoiced &amp; logged manually.  Settlements continue to work with TA to overcome some reconciliation issues.  Clock change issues also.</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r>
        <w:trPr/>
        <w:tc>
          <w:tcPr>
            <w:tcW w:w="475"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Risk</w:t>
            </w:r>
          </w:p>
        </w:tc>
        <w:tc>
          <w:tcPr>
            <w:tcW w:w="559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Risk failed to provide a correct DOVE report for reconciliation purposes in a timely fashion.</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All</w:t>
            </w:r>
          </w:p>
        </w:tc>
      </w:tr>
      <w:tr>
        <w:trPr/>
        <w:tc>
          <w:tcPr>
            <w:tcW w:w="475"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59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Failure to resolve issues &amp; pay CP in timely fashion.</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Magnox</w:t>
            </w:r>
          </w:p>
        </w:tc>
      </w:tr>
      <w:tr>
        <w:trPr/>
        <w:tc>
          <w:tcPr>
            <w:tcW w:w="475"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59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 failed to complete Watershed requirements in timely fashion.</w:t>
            </w:r>
          </w:p>
        </w:tc>
        <w:tc>
          <w:tcPr>
            <w:tcW w:w="1782"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ETOL</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Normal"/>
        <w:rPr>
          <w:smallCaps/>
          <w:lang w:val="en-GB"/>
        </w:rPr>
      </w:pPr>
      <w:r>
        <w:rPr>
          <w:smallCaps/>
          <w:lang w:val="en-GB"/>
        </w:rPr>
      </w:r>
    </w:p>
    <w:tbl>
      <w:tblPr>
        <w:tblW w:w="9122" w:type="dxa"/>
        <w:jc w:val="start"/>
        <w:tblInd w:w="0" w:type="dxa"/>
        <w:tblLayout w:type="fixed"/>
        <w:tblCellMar>
          <w:top w:w="0" w:type="dxa"/>
          <w:start w:w="115" w:type="dxa"/>
          <w:bottom w:w="0" w:type="dxa"/>
          <w:end w:w="115" w:type="dxa"/>
        </w:tblCellMar>
      </w:tblPr>
      <w:tblGrid>
        <w:gridCol w:w="468"/>
        <w:gridCol w:w="1267"/>
        <w:gridCol w:w="5580"/>
        <w:gridCol w:w="1807"/>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26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58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4</w:t>
            </w:r>
          </w:p>
        </w:tc>
        <w:tc>
          <w:tcPr>
            <w:tcW w:w="12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Time</w:t>
            </w:r>
          </w:p>
        </w:tc>
        <w:tc>
          <w:tcPr>
            <w:tcW w:w="558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Last minute resolution of large numbers of issues, meant that payments were made manually where the interface to TWS was missed.</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b/>
          <w:lang w:val="en-GB"/>
        </w:rPr>
      </w:pPr>
      <w:r>
        <w:rPr/>
        <w:object w:dxaOrig="6401" w:dyaOrig="384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315pt;height:194.3pt" filled="f" o:ole="">
            <v:imagedata r:id="rId15" o:title=""/>
          </v:shape>
          <o:OLEObject Type="Embed" ProgID="Excel.Sheet.12" ShapeID="ole_rId14" DrawAspect="Content" ObjectID="_1676079153" r:id="rId14"/>
        </w:object>
      </w:r>
    </w:p>
    <w:p>
      <w:pPr>
        <w:pStyle w:val="Normal"/>
        <w:rPr>
          <w:b/>
          <w:lang w:val="en-GB"/>
        </w:rPr>
      </w:pPr>
      <w:r>
        <w:rPr>
          <w:b/>
          <w:lang w:val="en-GB"/>
        </w:rPr>
      </w:r>
    </w:p>
    <w:p>
      <w:pPr>
        <w:pStyle w:val="Heading3"/>
        <w:ind w:hanging="0" w:start="0"/>
        <w:rPr>
          <w:caps w:val="false"/>
          <w:smallCaps w:val="false"/>
          <w:lang w:val="en-US"/>
        </w:rPr>
      </w:pPr>
      <w:r>
        <w:rPr>
          <w:caps w:val="false"/>
          <w:smallCaps w:val="false"/>
          <w:lang w:val="en-US"/>
        </w:rPr>
        <w:t>Management Highlights</w:t>
      </w:r>
    </w:p>
    <w:p>
      <w:pPr>
        <w:pStyle w:val="Normal"/>
        <w:rPr>
          <w:smallCaps/>
          <w:lang w:val="en-US"/>
        </w:rPr>
      </w:pPr>
      <w:r>
        <w:rPr>
          <w:smallCaps/>
          <w:lang w:val="en-US"/>
        </w:rPr>
      </w:r>
    </w:p>
    <w:p>
      <w:pPr>
        <w:pStyle w:val="Normal"/>
        <w:numPr>
          <w:ilvl w:val="0"/>
          <w:numId w:val="4"/>
        </w:numPr>
        <w:spacing w:before="0" w:after="100"/>
        <w:rPr>
          <w:sz w:val="16"/>
          <w:lang w:val="en-GB"/>
        </w:rPr>
      </w:pPr>
      <w:r>
        <w:rPr>
          <w:b/>
          <w:sz w:val="16"/>
          <w:lang w:val="en-GB"/>
        </w:rPr>
        <w:t>Deal flipper</w:t>
      </w:r>
      <w:r>
        <w:rPr>
          <w:sz w:val="16"/>
          <w:lang w:val="en-GB"/>
        </w:rPr>
        <w:t>: IT solution did not appropriately allow differentiation between financial &amp; physical deals @ NETA go-live for Settlement purposes.  Physical settlement blocked out 23hrs – 00hrs timeslots.  For financial settlements the hour was unable to be added back on appropriately.  Issues also with clock change hour and data remaining in EnPower.  PPP finals were not loaded to EnPower in a timely fashion by IT FO support.  As a result manual invoicing was performed for 4387 deals (32 counterparties) and Settlements &amp;TA continue to work on clean-up.</w:t>
      </w:r>
    </w:p>
    <w:p>
      <w:pPr>
        <w:pStyle w:val="Normal"/>
        <w:numPr>
          <w:ilvl w:val="0"/>
          <w:numId w:val="4"/>
        </w:numPr>
        <w:spacing w:before="0" w:after="100"/>
        <w:rPr>
          <w:lang w:val="en-GB"/>
        </w:rPr>
      </w:pPr>
      <w:r>
        <w:rPr>
          <w:b/>
          <w:sz w:val="16"/>
          <w:lang w:val="en-GB"/>
        </w:rPr>
        <w:t>Systems</w:t>
      </w:r>
      <w:r>
        <w:rPr>
          <w:sz w:val="16"/>
          <w:lang w:val="en-GB"/>
        </w:rPr>
        <w:t>: no Settlements systems were able to be UAT prior to use in live environment due to development delay as Commercial negotiations continued.</w:t>
      </w:r>
    </w:p>
    <w:p>
      <w:pPr>
        <w:sectPr>
          <w:headerReference w:type="default" r:id="rId16"/>
          <w:headerReference w:type="first" r:id="rId17"/>
          <w:footerReference w:type="default" r:id="rId18"/>
          <w:footerReference w:type="first" r:id="rId19"/>
          <w:type w:val="nextPage"/>
          <w:pgSz w:w="11906" w:h="16838"/>
          <w:pgMar w:left="1800" w:right="1627" w:gutter="0" w:header="720" w:top="1440" w:footer="720" w:bottom="907"/>
          <w:pgNumType w:fmt="decimal"/>
          <w:formProt w:val="false"/>
          <w:textDirection w:val="lrTb"/>
          <w:docGrid w:type="default" w:linePitch="360" w:charSpace="0"/>
        </w:sectPr>
        <w:pStyle w:val="Normal"/>
        <w:numPr>
          <w:ilvl w:val="0"/>
          <w:numId w:val="4"/>
        </w:numPr>
        <w:spacing w:before="0" w:after="100"/>
        <w:rPr>
          <w:lang w:val="en-GB"/>
        </w:rPr>
      </w:pPr>
      <w:r>
        <w:rPr>
          <w:b/>
          <w:sz w:val="16"/>
          <w:lang w:val="en-GB"/>
        </w:rPr>
        <w:t>Staffing Issues</w:t>
      </w:r>
      <w:r>
        <w:rPr>
          <w:sz w:val="16"/>
          <w:lang w:val="en-GB"/>
        </w:rPr>
        <w:t>: Ray Dollman was managed out of Enron.  Replacement recruiting effort underway.</w:t>
      </w:r>
    </w:p>
    <w:p>
      <w:pPr>
        <w:pStyle w:val="Heading1"/>
        <w:ind w:hanging="0" w:start="0"/>
        <w:jc w:val="center"/>
        <w:rPr/>
      </w:pPr>
      <w:r>
        <w:rPr/>
        <w:t>Continental Gas- April 2001 (March Production)</w:t>
      </w:r>
    </w:p>
    <w:p>
      <w:pPr>
        <w:pStyle w:val="Normal"/>
        <w:rPr>
          <w:lang w:val="en-GB"/>
        </w:rPr>
      </w:pPr>
      <w:r>
        <w:rPr>
          <w:lang w:val="en-GB"/>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7981" w:type="dxa"/>
        <w:jc w:val="start"/>
        <w:tblInd w:w="0" w:type="dxa"/>
        <w:tblLayout w:type="fixed"/>
        <w:tblCellMar>
          <w:top w:w="0" w:type="dxa"/>
          <w:start w:w="108" w:type="dxa"/>
          <w:bottom w:w="0" w:type="dxa"/>
          <w:end w:w="108" w:type="dxa"/>
        </w:tblCellMar>
      </w:tblPr>
      <w:tblGrid>
        <w:gridCol w:w="3690"/>
        <w:gridCol w:w="1078"/>
        <w:gridCol w:w="1126"/>
        <w:gridCol w:w="1079"/>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Physical</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Financial</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738</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errors/issues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5</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0.14%</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79"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Normal"/>
        <w:rPr>
          <w:b/>
          <w:i/>
          <w:i/>
          <w:smallCaps/>
        </w:rPr>
      </w:pPr>
      <w:r>
        <w:rPr>
          <w:b/>
          <w:i/>
          <w:smallCaps/>
        </w:rPr>
      </w:r>
    </w:p>
    <w:p>
      <w:pPr>
        <w:pStyle w:val="Heading3"/>
        <w:ind w:hanging="0" w:start="0"/>
        <w:rPr>
          <w:caps w:val="false"/>
          <w:smallCaps w:val="false"/>
        </w:rPr>
      </w:pPr>
      <w:r>
        <w:rPr>
          <w:caps w:val="false"/>
          <w:smallCaps w:val="false"/>
        </w:rPr>
        <w:t>Commentary – Errors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7"/>
        <w:gridCol w:w="1084"/>
        <w:gridCol w:w="5777"/>
        <w:gridCol w:w="1787"/>
      </w:tblGrid>
      <w:tr>
        <w:trPr/>
        <w:tc>
          <w:tcPr>
            <w:tcW w:w="46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084"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77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Settlements</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Invoice faxed to wrong CP</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Epon</w:t>
            </w:r>
          </w:p>
        </w:tc>
      </w:tr>
      <w:tr>
        <w:trPr/>
        <w:tc>
          <w:tcPr>
            <w:tcW w:w="46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5</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Trading</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Deals not entered into Risk Management system.</w:t>
            </w:r>
          </w:p>
        </w:tc>
        <w:tc>
          <w:tcPr>
            <w:tcW w:w="178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8"/>
        <w:gridCol w:w="900"/>
        <w:gridCol w:w="5940"/>
        <w:gridCol w:w="1807"/>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94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Systems</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LOM-SAP interface failure</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Eon</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pPr>
      <w:r>
        <w:rPr/>
        <w:object w:dxaOrig="6401" w:dyaOrig="3585">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315pt;height:183.7pt" filled="f" o:ole="">
            <v:imagedata r:id="rId21" o:title=""/>
          </v:shape>
          <o:OLEObject Type="Embed" ProgID="Excel.Sheet.12" ShapeID="ole_rId20" DrawAspect="Content" ObjectID="_311191960" r:id="rId20"/>
        </w:object>
      </w:r>
    </w:p>
    <w:p>
      <w:pPr>
        <w:pStyle w:val="Normal"/>
        <w:rPr/>
      </w:pPr>
      <w:r>
        <w:rPr/>
      </w:r>
    </w:p>
    <w:p>
      <w:pPr>
        <w:pStyle w:val="Heading3"/>
        <w:ind w:hanging="0" w:start="0"/>
        <w:rPr>
          <w:caps w:val="false"/>
          <w:smallCaps w:val="false"/>
          <w:lang w:val="en-US"/>
        </w:rPr>
      </w:pPr>
      <w:r>
        <w:rPr>
          <w:caps w:val="false"/>
          <w:smallCaps w:val="false"/>
          <w:lang w:val="en-US"/>
        </w:rPr>
        <w:t>Management Highlights</w:t>
      </w:r>
    </w:p>
    <w:p>
      <w:pPr>
        <w:pStyle w:val="Normal"/>
        <w:rPr>
          <w:smallCaps/>
          <w:lang w:val="en-US"/>
        </w:rPr>
      </w:pPr>
      <w:r>
        <w:rPr>
          <w:smallCaps/>
          <w:lang w:val="en-US"/>
        </w:rPr>
      </w:r>
    </w:p>
    <w:p>
      <w:pPr>
        <w:pStyle w:val="Normal"/>
        <w:numPr>
          <w:ilvl w:val="0"/>
          <w:numId w:val="6"/>
        </w:numPr>
        <w:spacing w:before="0" w:after="100"/>
        <w:rPr>
          <w:sz w:val="16"/>
          <w:lang w:val="en-GB"/>
        </w:rPr>
      </w:pPr>
      <w:r>
        <w:rPr>
          <w:b/>
          <w:sz w:val="16"/>
          <w:lang w:val="en-GB"/>
        </w:rPr>
        <w:t>Entrade Deals</w:t>
      </w:r>
      <w:r>
        <w:rPr>
          <w:sz w:val="16"/>
          <w:lang w:val="en-GB"/>
        </w:rPr>
        <w:t>:  All historical Entrade deals have been settled with Essent, as per letter &amp; authorisation from David Gallagher.</w:t>
      </w:r>
    </w:p>
    <w:p>
      <w:pPr>
        <w:pStyle w:val="Normal"/>
        <w:numPr>
          <w:ilvl w:val="0"/>
          <w:numId w:val="6"/>
        </w:numPr>
        <w:spacing w:before="0" w:after="100"/>
        <w:rPr>
          <w:sz w:val="16"/>
          <w:lang w:val="en-GB"/>
        </w:rPr>
      </w:pPr>
      <w:r>
        <w:rPr>
          <w:b/>
          <w:sz w:val="16"/>
          <w:lang w:val="en-GB"/>
        </w:rPr>
        <w:t>Alliance Gas</w:t>
      </w:r>
      <w:r>
        <w:rPr>
          <w:sz w:val="16"/>
          <w:lang w:val="en-GB"/>
        </w:rPr>
        <w:t>:  Alliance Gas (Feb production) deals have not yet been resolved with the CP.  They requested that we delay payment for five days.</w:t>
      </w:r>
    </w:p>
    <w:p>
      <w:pPr>
        <w:pStyle w:val="Normal"/>
        <w:numPr>
          <w:ilvl w:val="0"/>
          <w:numId w:val="6"/>
        </w:numPr>
        <w:spacing w:before="0" w:after="100"/>
        <w:rPr>
          <w:sz w:val="16"/>
          <w:lang w:val="en-GB"/>
        </w:rPr>
      </w:pPr>
      <w:r>
        <w:rPr>
          <w:b/>
          <w:sz w:val="16"/>
          <w:lang w:val="en-GB"/>
        </w:rPr>
        <w:t>Static Data review</w:t>
      </w:r>
      <w:r>
        <w:rPr>
          <w:sz w:val="16"/>
          <w:lang w:val="en-GB"/>
        </w:rPr>
        <w:t>: completed in time for EnVoice implementation.</w:t>
      </w:r>
    </w:p>
    <w:p>
      <w:pPr>
        <w:pStyle w:val="Normal"/>
        <w:numPr>
          <w:ilvl w:val="0"/>
          <w:numId w:val="6"/>
        </w:numPr>
        <w:spacing w:before="0" w:after="100"/>
        <w:rPr>
          <w:sz w:val="16"/>
          <w:lang w:val="en-GB"/>
        </w:rPr>
      </w:pPr>
      <w:r>
        <w:rPr>
          <w:b/>
          <w:sz w:val="16"/>
          <w:lang w:val="en-GB"/>
        </w:rPr>
        <w:t>Gas Transportation</w:t>
      </w:r>
      <w:r>
        <w:rPr>
          <w:sz w:val="16"/>
          <w:lang w:val="en-GB"/>
        </w:rPr>
        <w:t>: process review completed.  Recommendations implemented.</w:t>
      </w:r>
    </w:p>
    <w:p>
      <w:pPr>
        <w:pStyle w:val="Normal"/>
        <w:rPr>
          <w:sz w:val="16"/>
          <w:lang w:val="en-GB"/>
        </w:rPr>
      </w:pPr>
      <w:r>
        <w:rPr>
          <w:sz w:val="16"/>
          <w:lang w:val="en-GB"/>
        </w:rPr>
      </w:r>
    </w:p>
    <w:p>
      <w:pPr>
        <w:sectPr>
          <w:headerReference w:type="default" r:id="rId22"/>
          <w:headerReference w:type="first" r:id="rId23"/>
          <w:footerReference w:type="default" r:id="rId24"/>
          <w:footerReference w:type="first" r:id="rId25"/>
          <w:type w:val="nextPage"/>
          <w:pgSz w:w="11906" w:h="16838"/>
          <w:pgMar w:left="1800" w:right="1627" w:gutter="0" w:header="720" w:top="1440" w:footer="720" w:bottom="907"/>
          <w:pgNumType w:fmt="decimal"/>
          <w:formProt w:val="false"/>
          <w:textDirection w:val="lrTb"/>
          <w:docGrid w:type="default" w:linePitch="360" w:charSpace="0"/>
        </w:sectPr>
        <w:pStyle w:val="Normal"/>
        <w:rPr>
          <w:lang w:val="en-GB"/>
        </w:rPr>
      </w:pPr>
      <w:r>
        <w:rPr>
          <w:lang w:val="en-GB"/>
        </w:rPr>
      </w:r>
    </w:p>
    <w:p>
      <w:pPr>
        <w:pStyle w:val="Heading1"/>
        <w:ind w:hanging="0" w:start="0"/>
        <w:jc w:val="center"/>
        <w:rPr/>
      </w:pPr>
      <w:r>
        <w:rPr/>
        <w:t>Continental Power- April 2001 (March Production)</w:t>
      </w:r>
    </w:p>
    <w:p>
      <w:pPr>
        <w:pStyle w:val="Normal"/>
        <w:rPr>
          <w:lang w:val="en-GB"/>
        </w:rPr>
      </w:pPr>
      <w:r>
        <w:rPr>
          <w:lang w:val="en-GB"/>
        </w:rPr>
      </w:r>
    </w:p>
    <w:p>
      <w:pPr>
        <w:pStyle w:val="Heading3"/>
        <w:ind w:hanging="0" w:start="0"/>
        <w:rPr>
          <w:caps w:val="false"/>
          <w:smallCaps w:val="false"/>
        </w:rPr>
      </w:pPr>
      <w:r>
        <w:rPr>
          <w:caps w:val="false"/>
          <w:smallCaps w:val="false"/>
        </w:rPr>
        <w:t>Volumes / Error Information</w:t>
      </w:r>
    </w:p>
    <w:p>
      <w:pPr>
        <w:pStyle w:val="Normal"/>
        <w:rPr>
          <w:smallCaps/>
          <w:lang w:val="en-GB"/>
        </w:rPr>
      </w:pPr>
      <w:r>
        <w:rPr>
          <w:smallCaps/>
          <w:lang w:val="en-GB"/>
        </w:rPr>
      </w:r>
    </w:p>
    <w:tbl>
      <w:tblPr>
        <w:tblW w:w="8028" w:type="dxa"/>
        <w:jc w:val="start"/>
        <w:tblInd w:w="0" w:type="dxa"/>
        <w:tblLayout w:type="fixed"/>
        <w:tblCellMar>
          <w:top w:w="0" w:type="dxa"/>
          <w:start w:w="108" w:type="dxa"/>
          <w:bottom w:w="0" w:type="dxa"/>
          <w:end w:w="108" w:type="dxa"/>
        </w:tblCellMar>
      </w:tblPr>
      <w:tblGrid>
        <w:gridCol w:w="3690"/>
        <w:gridCol w:w="1078"/>
        <w:gridCol w:w="1126"/>
        <w:gridCol w:w="1126"/>
        <w:gridCol w:w="1008"/>
      </w:tblGrid>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16"/>
                <w:lang w:val="en-GB"/>
              </w:rPr>
            </w:pPr>
            <w:r>
              <w:rPr>
                <w:sz w:val="16"/>
                <w:lang w:val="en-GB"/>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Physical</w:t>
            </w:r>
          </w:p>
        </w:tc>
        <w:tc>
          <w:tcPr>
            <w:tcW w:w="1126"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Financial</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Options</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b/>
                <w:sz w:val="16"/>
                <w:lang w:val="en-GB"/>
              </w:rPr>
            </w:pPr>
            <w:r>
              <w:rPr>
                <w:b/>
                <w:sz w:val="16"/>
                <w:lang w:val="en-GB"/>
              </w:rPr>
              <w:t>Brokerage</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Total Number of Settled Deals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9182</w:t>
            </w:r>
          </w:p>
        </w:tc>
        <w:tc>
          <w:tcPr>
            <w:tcW w:w="112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136</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53</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Settlement 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Other issues/errors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7</w:t>
            </w:r>
          </w:p>
        </w:tc>
        <w:tc>
          <w:tcPr>
            <w:tcW w:w="112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Error rate</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12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0.0%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against Enron ($ amount)</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w:t>
            </w:r>
          </w:p>
        </w:tc>
        <w:tc>
          <w:tcPr>
            <w:tcW w:w="112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Interest Claims by Enron</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r>
        <w:trPr/>
        <w:tc>
          <w:tcPr>
            <w:tcW w:w="3690"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Manual Payments</w:t>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15</w:t>
            </w:r>
          </w:p>
        </w:tc>
        <w:tc>
          <w:tcPr>
            <w:tcW w:w="112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0</w:t>
            </w:r>
          </w:p>
        </w:tc>
        <w:tc>
          <w:tcPr>
            <w:tcW w:w="1126"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c>
          <w:tcPr>
            <w:tcW w:w="1008" w:type="dxa"/>
            <w:tcBorders>
              <w:top w:val="single" w:sz="4" w:space="0" w:color="000000"/>
              <w:start w:val="single" w:sz="4" w:space="0" w:color="000000"/>
              <w:bottom w:val="single" w:sz="4" w:space="0" w:color="000000"/>
              <w:end w:val="single" w:sz="4" w:space="0" w:color="000000"/>
            </w:tcBorders>
            <w:vAlign w:val="center"/>
          </w:tcPr>
          <w:p>
            <w:pPr>
              <w:pStyle w:val="Normal"/>
              <w:rPr>
                <w:sz w:val="16"/>
                <w:lang w:val="en-GB"/>
              </w:rPr>
            </w:pPr>
            <w:r>
              <w:rPr>
                <w:sz w:val="16"/>
                <w:lang w:val="en-GB"/>
              </w:rPr>
              <w:t>0</w:t>
            </w:r>
          </w:p>
        </w:tc>
      </w:tr>
    </w:tbl>
    <w:p>
      <w:pPr>
        <w:pStyle w:val="Normal"/>
        <w:rPr>
          <w:b/>
          <w:i/>
          <w:i/>
          <w:sz w:val="16"/>
          <w:lang w:val="en-GB"/>
        </w:rPr>
      </w:pPr>
      <w:r>
        <w:rPr>
          <w:b/>
          <w:i/>
          <w:sz w:val="16"/>
          <w:lang w:val="en-GB"/>
        </w:rPr>
      </w:r>
    </w:p>
    <w:p>
      <w:pPr>
        <w:pStyle w:val="Normal"/>
        <w:rPr>
          <w:b/>
          <w:i/>
          <w:i/>
          <w:sz w:val="16"/>
          <w:lang w:val="en-GB"/>
        </w:rPr>
      </w:pPr>
      <w:r>
        <w:rPr>
          <w:b/>
          <w:i/>
          <w:sz w:val="16"/>
          <w:lang w:val="en-GB"/>
        </w:rPr>
      </w:r>
    </w:p>
    <w:p>
      <w:pPr>
        <w:pStyle w:val="Heading3"/>
        <w:ind w:hanging="0" w:start="0"/>
        <w:rPr>
          <w:caps w:val="false"/>
          <w:smallCaps w:val="false"/>
        </w:rPr>
      </w:pPr>
      <w:r>
        <w:rPr>
          <w:caps w:val="false"/>
          <w:smallCaps w:val="false"/>
        </w:rPr>
        <w:t>Commentary – Errors</w:t>
      </w:r>
    </w:p>
    <w:p>
      <w:pPr>
        <w:pStyle w:val="Normal"/>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8"/>
        <w:gridCol w:w="1084"/>
        <w:gridCol w:w="5777"/>
        <w:gridCol w:w="1786"/>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1084"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Type</w:t>
            </w:r>
          </w:p>
        </w:tc>
        <w:tc>
          <w:tcPr>
            <w:tcW w:w="577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786"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Systems</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Volume discrepancies between FO &amp; BO systems on structured options.</w:t>
            </w:r>
          </w:p>
        </w:tc>
        <w:tc>
          <w:tcPr>
            <w:tcW w:w="178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6</w:t>
            </w:r>
          </w:p>
        </w:tc>
        <w:tc>
          <w:tcPr>
            <w:tcW w:w="1084"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Commerical</w:t>
            </w:r>
          </w:p>
        </w:tc>
        <w:tc>
          <w:tcPr>
            <w:tcW w:w="577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Incorrect volume/currency booked in Risk Management system</w:t>
            </w:r>
          </w:p>
        </w:tc>
        <w:tc>
          <w:tcPr>
            <w:tcW w:w="1786"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Various</w:t>
            </w:r>
          </w:p>
        </w:tc>
      </w:tr>
    </w:tbl>
    <w:p>
      <w:pPr>
        <w:pStyle w:val="Normal"/>
        <w:rPr>
          <w:b/>
          <w:lang w:val="en-GB"/>
        </w:rPr>
      </w:pPr>
      <w:r>
        <w:rPr>
          <w:b/>
          <w:lang w:val="en-GB"/>
        </w:rPr>
      </w:r>
    </w:p>
    <w:p>
      <w:pPr>
        <w:pStyle w:val="Heading3"/>
        <w:ind w:hanging="0" w:start="0"/>
        <w:rPr>
          <w:caps w:val="false"/>
          <w:smallCaps w:val="false"/>
        </w:rPr>
      </w:pPr>
      <w:r>
        <w:rPr>
          <w:caps w:val="false"/>
          <w:smallCaps w:val="false"/>
        </w:rPr>
        <w:t>Commentary – Manual Payments</w:t>
      </w:r>
    </w:p>
    <w:p>
      <w:pPr>
        <w:pStyle w:val="Header"/>
        <w:tabs>
          <w:tab w:val="clear" w:pos="4320"/>
          <w:tab w:val="clear" w:pos="8640"/>
        </w:tabs>
        <w:rPr>
          <w:smallCaps/>
          <w:lang w:val="en-GB"/>
        </w:rPr>
      </w:pPr>
      <w:r>
        <w:rPr>
          <w:smallCaps/>
          <w:lang w:val="en-GB"/>
        </w:rPr>
      </w:r>
    </w:p>
    <w:tbl>
      <w:tblPr>
        <w:tblW w:w="9115" w:type="dxa"/>
        <w:jc w:val="start"/>
        <w:tblInd w:w="0" w:type="dxa"/>
        <w:tblLayout w:type="fixed"/>
        <w:tblCellMar>
          <w:top w:w="0" w:type="dxa"/>
          <w:start w:w="115" w:type="dxa"/>
          <w:bottom w:w="0" w:type="dxa"/>
          <w:end w:w="115" w:type="dxa"/>
        </w:tblCellMar>
      </w:tblPr>
      <w:tblGrid>
        <w:gridCol w:w="468"/>
        <w:gridCol w:w="900"/>
        <w:gridCol w:w="5940"/>
        <w:gridCol w:w="1807"/>
      </w:tblGrid>
      <w:tr>
        <w:trPr/>
        <w:tc>
          <w:tcPr>
            <w:tcW w:w="468"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No</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Cause</w:t>
            </w:r>
          </w:p>
        </w:tc>
        <w:tc>
          <w:tcPr>
            <w:tcW w:w="5940"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Commentary</w:t>
            </w:r>
          </w:p>
        </w:tc>
        <w:tc>
          <w:tcPr>
            <w:tcW w:w="1807" w:type="dxa"/>
            <w:tcBorders>
              <w:top w:val="single" w:sz="4" w:space="0" w:color="000000"/>
              <w:start w:val="single" w:sz="4" w:space="0" w:color="000000"/>
              <w:bottom w:val="single" w:sz="4" w:space="0" w:color="000000"/>
              <w:end w:val="single" w:sz="4" w:space="0" w:color="000000"/>
            </w:tcBorders>
          </w:tcPr>
          <w:p>
            <w:pPr>
              <w:pStyle w:val="Normal"/>
              <w:rPr>
                <w:b/>
                <w:sz w:val="16"/>
                <w:lang w:val="en-GB"/>
              </w:rPr>
            </w:pPr>
            <w:r>
              <w:rPr>
                <w:b/>
                <w:sz w:val="16"/>
                <w:lang w:val="en-GB"/>
              </w:rPr>
              <w:t>Counterparty</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12</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Systems</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Payments cannot be made through SAP</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EEX</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GCP</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Awaiting bank detail set up in GCP.</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TXU</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2</w:t>
            </w:r>
          </w:p>
        </w:tc>
        <w:tc>
          <w:tcPr>
            <w:tcW w:w="90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Systems</w:t>
            </w:r>
          </w:p>
        </w:tc>
        <w:tc>
          <w:tcPr>
            <w:tcW w:w="5940"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LOM-SAP interface failure.</w:t>
            </w:r>
          </w:p>
        </w:tc>
        <w:tc>
          <w:tcPr>
            <w:tcW w:w="1807" w:type="dxa"/>
            <w:tcBorders>
              <w:top w:val="single" w:sz="4" w:space="0" w:color="000000"/>
              <w:start w:val="single" w:sz="4" w:space="0" w:color="000000"/>
              <w:bottom w:val="single" w:sz="4" w:space="0" w:color="000000"/>
              <w:end w:val="single" w:sz="4" w:space="0" w:color="000000"/>
            </w:tcBorders>
          </w:tcPr>
          <w:p>
            <w:pPr>
              <w:pStyle w:val="Normal"/>
              <w:rPr>
                <w:sz w:val="16"/>
                <w:lang w:val="en-GB"/>
              </w:rPr>
            </w:pPr>
            <w:r>
              <w:rPr>
                <w:sz w:val="16"/>
                <w:lang w:val="en-GB"/>
              </w:rPr>
              <w:t>Unknown</w:t>
            </w:r>
          </w:p>
        </w:tc>
      </w:tr>
    </w:tbl>
    <w:p>
      <w:pPr>
        <w:pStyle w:val="Normal"/>
        <w:rPr>
          <w:b/>
          <w:lang w:val="en-GB"/>
        </w:rPr>
      </w:pPr>
      <w:r>
        <w:rPr>
          <w:b/>
          <w:lang w:val="en-GB"/>
        </w:rPr>
      </w:r>
    </w:p>
    <w:p>
      <w:pPr>
        <w:pStyle w:val="Heading3"/>
        <w:ind w:hanging="0" w:start="0"/>
        <w:rPr>
          <w:caps w:val="false"/>
          <w:smallCaps w:val="false"/>
        </w:rPr>
      </w:pPr>
      <w:r>
        <w:rPr>
          <w:caps w:val="false"/>
          <w:smallCaps w:val="false"/>
        </w:rPr>
        <w:t>Volume Trends</w:t>
      </w:r>
    </w:p>
    <w:p>
      <w:pPr>
        <w:pStyle w:val="Normal"/>
        <w:rPr/>
      </w:pPr>
      <w:r>
        <w:rPr/>
        <w:object w:dxaOrig="6401" w:dyaOrig="38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24pt;height:195pt" filled="f" o:ole="">
            <v:imagedata r:id="rId27" o:title=""/>
          </v:shape>
          <o:OLEObject Type="Embed" ProgID="Excel.Sheet.12" ShapeID="ole_rId26" DrawAspect="Content" ObjectID="_815984692" r:id="rId26"/>
        </w:object>
      </w:r>
    </w:p>
    <w:p>
      <w:pPr>
        <w:pStyle w:val="Normal"/>
        <w:rPr/>
      </w:pPr>
      <w:r>
        <w:rPr/>
      </w:r>
    </w:p>
    <w:p>
      <w:pPr>
        <w:pStyle w:val="Heading3"/>
        <w:ind w:hanging="0" w:start="0"/>
        <w:rPr>
          <w:caps w:val="false"/>
          <w:smallCaps w:val="false"/>
          <w:lang w:val="en-US"/>
        </w:rPr>
      </w:pPr>
      <w:r>
        <w:rPr>
          <w:caps w:val="false"/>
          <w:smallCaps w:val="false"/>
          <w:lang w:val="en-US"/>
        </w:rPr>
        <w:t>Management Highlights</w:t>
      </w:r>
    </w:p>
    <w:p>
      <w:pPr>
        <w:pStyle w:val="Normal"/>
        <w:rPr>
          <w:smallCaps/>
          <w:lang w:val="en-US"/>
        </w:rPr>
      </w:pPr>
      <w:r>
        <w:rPr>
          <w:smallCaps/>
          <w:lang w:val="en-US"/>
        </w:rPr>
      </w:r>
    </w:p>
    <w:p>
      <w:pPr>
        <w:pStyle w:val="Normal"/>
        <w:numPr>
          <w:ilvl w:val="0"/>
          <w:numId w:val="3"/>
        </w:numPr>
        <w:spacing w:before="0" w:after="100"/>
        <w:rPr>
          <w:sz w:val="16"/>
          <w:lang w:val="en-GB"/>
        </w:rPr>
      </w:pPr>
      <w:r>
        <w:rPr>
          <w:b/>
          <w:sz w:val="16"/>
          <w:lang w:val="en-GB"/>
        </w:rPr>
        <w:t>Options invoicing</w:t>
      </w:r>
      <w:r>
        <w:rPr>
          <w:sz w:val="16"/>
          <w:lang w:val="en-GB"/>
        </w:rPr>
        <w:t>:  New process implemented to streamline option invoicing.  Affirmation of bank details, value &amp; value date are completed on T+1 irrespective of buy/sell.</w:t>
      </w:r>
    </w:p>
    <w:p>
      <w:pPr>
        <w:pStyle w:val="Normal"/>
        <w:numPr>
          <w:ilvl w:val="0"/>
          <w:numId w:val="3"/>
        </w:numPr>
        <w:spacing w:before="0" w:after="100"/>
        <w:rPr>
          <w:sz w:val="16"/>
          <w:lang w:val="en-GB"/>
        </w:rPr>
      </w:pPr>
      <w:r>
        <w:rPr>
          <w:b/>
          <w:sz w:val="16"/>
          <w:lang w:val="en-GB"/>
        </w:rPr>
        <w:t>Structured Options</w:t>
      </w:r>
      <w:r>
        <w:rPr>
          <w:sz w:val="16"/>
          <w:lang w:val="en-GB"/>
        </w:rPr>
        <w:t>:  On-going difficulties experienced by Settlements as volumes in FO systems does not match volumes in BO systems.  IT are aware and investigation is underway.</w:t>
      </w:r>
    </w:p>
    <w:p>
      <w:pPr>
        <w:pStyle w:val="Header"/>
        <w:tabs>
          <w:tab w:val="clear" w:pos="4320"/>
          <w:tab w:val="clear" w:pos="8640"/>
        </w:tabs>
        <w:rPr>
          <w:sz w:val="16"/>
          <w:lang w:val="en-GB"/>
        </w:rPr>
      </w:pPr>
      <w:r>
        <w:rPr>
          <w:sz w:val="16"/>
          <w:lang w:val="en-GB"/>
        </w:rPr>
      </w:r>
    </w:p>
    <w:sectPr>
      <w:headerReference w:type="default" r:id="rId28"/>
      <w:headerReference w:type="first" r:id="rId29"/>
      <w:footerReference w:type="default" r:id="rId30"/>
      <w:footerReference w:type="first" r:id="rId31"/>
      <w:type w:val="nextPage"/>
      <w:pgSz w:w="11906" w:h="16838"/>
      <w:pgMar w:left="1800" w:right="1627" w:gutter="0" w:header="720" w:top="1440" w:footer="72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Marlett">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sz w:val="16"/>
        <w:lang w:val="en-GB"/>
      </w:rPr>
    </w:pPr>
    <w:r>
      <w:rPr>
        <w:sz w:val="16"/>
        <w:lang w:val="en-GB"/>
      </w:rPr>
    </w:r>
  </w:p>
  <w:p>
    <w:pPr>
      <w:pStyle w:val="Footer"/>
      <w:pBdr>
        <w:top w:val="single" w:sz="4" w:space="1" w:color="000000"/>
      </w:pBdr>
      <w:jc w:val="center"/>
      <w:rPr>
        <w:sz w:val="16"/>
        <w:lang w:val="en-GB"/>
      </w:rPr>
    </w:pPr>
    <w:r>
      <w:rPr>
        <w:sz w:val="16"/>
        <w:lang w:val="en-GB"/>
      </w:rPr>
      <w:t>Page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sz w:val="16"/>
        <w:lang w:val="en-GB"/>
      </w:rPr>
    </w:pPr>
    <w:r>
      <w:rPr>
        <w:sz w:val="16"/>
        <w:lang w:val="en-GB"/>
      </w:rPr>
    </w:r>
  </w:p>
  <w:p>
    <w:pPr>
      <w:pStyle w:val="Footer"/>
      <w:pBdr>
        <w:top w:val="single" w:sz="4" w:space="1" w:color="000000"/>
      </w:pBdr>
      <w:jc w:val="center"/>
      <w:rPr>
        <w:sz w:val="16"/>
        <w:lang w:val="en-GB"/>
      </w:rPr>
    </w:pPr>
    <w:r>
      <w:rPr>
        <w:sz w:val="16"/>
        <w:lang w:val="en-GB"/>
      </w:rPr>
      <w:t>Page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sz w:val="16"/>
        <w:lang w:val="en-GB"/>
      </w:rPr>
    </w:pPr>
    <w:r>
      <w:rPr>
        <w:sz w:val="16"/>
        <w:lang w:val="en-GB"/>
      </w:rPr>
    </w:r>
  </w:p>
  <w:p>
    <w:pPr>
      <w:pStyle w:val="Footer"/>
      <w:pBdr>
        <w:top w:val="single" w:sz="4" w:space="1" w:color="000000"/>
      </w:pBdr>
      <w:jc w:val="center"/>
      <w:rPr>
        <w:sz w:val="16"/>
        <w:lang w:val="en-GB"/>
      </w:rPr>
    </w:pPr>
    <w:r>
      <w:rPr>
        <w:sz w:val="16"/>
        <w:lang w:val="en-GB"/>
      </w:rPr>
      <w:t>Page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sz w:val="16"/>
        <w:lang w:val="en-GB"/>
      </w:rPr>
    </w:pPr>
    <w:r>
      <w:rPr>
        <w:sz w:val="16"/>
        <w:lang w:val="en-GB"/>
      </w:rPr>
      <w:t>*  Brokerage for Prebon still oustanding.  Remainder now up to date.</w:t>
    </w:r>
  </w:p>
  <w:p>
    <w:pPr>
      <w:pStyle w:val="Footer"/>
      <w:pBdr>
        <w:top w:val="single" w:sz="4" w:space="1" w:color="000000"/>
      </w:pBdr>
      <w:rPr>
        <w:sz w:val="16"/>
        <w:lang w:val="en-GB"/>
      </w:rPr>
    </w:pPr>
    <w:r>
      <w:rPr>
        <w:sz w:val="16"/>
        <w:lang w:val="en-GB"/>
      </w:rPr>
    </w:r>
  </w:p>
  <w:p>
    <w:pPr>
      <w:pStyle w:val="Footer"/>
      <w:pBdr>
        <w:top w:val="single" w:sz="4" w:space="1" w:color="000000"/>
      </w:pBdr>
      <w:jc w:val="center"/>
      <w:rPr>
        <w:sz w:val="16"/>
        <w:lang w:val="en-GB"/>
      </w:rPr>
    </w:pPr>
    <w:r>
      <w:rPr>
        <w:sz w:val="16"/>
        <w:lang w:val="en-GB"/>
      </w:rPr>
      <w:t>Page 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sz w:val="16"/>
        <w:lang w:val="en-GB"/>
      </w:rPr>
    </w:pPr>
    <w:r>
      <w:rPr>
        <w:sz w:val="16"/>
        <w:lang w:val="en-GB"/>
      </w:rPr>
      <w:t>*  Work o brokerage backlog still in progress</w:t>
    </w:r>
  </w:p>
  <w:p>
    <w:pPr>
      <w:pStyle w:val="Footer"/>
      <w:pBdr>
        <w:top w:val="single" w:sz="4" w:space="1" w:color="000000"/>
      </w:pBdr>
      <w:jc w:val="center"/>
      <w:rPr>
        <w:sz w:val="16"/>
        <w:lang w:val="en-GB"/>
      </w:rPr>
    </w:pPr>
    <w:r>
      <w:rPr>
        <w:sz w:val="16"/>
        <w:lang w:val="en-GB"/>
      </w:rPr>
      <w:t>Page 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jc w:val="center"/>
      <w:rPr>
        <w:b w:val="false"/>
        <w:bCs/>
        <w:i/>
        <w:i/>
        <w:iCs/>
      </w:rPr>
    </w:pPr>
    <w:r>
      <w:rPr>
        <w:b w:val="false"/>
        <w:bCs/>
        <w:i/>
        <w:iCs/>
      </w:rPr>
      <w:t>Enron Europe Trade Support – Settlements Management Reporting</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216" w:hanging="216"/>
      </w:pPr>
      <w:rPr>
        <w:rFonts w:ascii="Wingdings" w:hAnsi="Wingdings" w:cs="Wingdings" w:hint="default"/>
        <w:sz w:val="20"/>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shd w:fill="E5E5E5" w:val="clear"/>
      <w:outlineLvl w:val="0"/>
    </w:pPr>
    <w:rPr>
      <w:b/>
      <w:smallCaps/>
      <w:lang w:val="en-GB"/>
    </w:rPr>
  </w:style>
  <w:style w:type="paragraph" w:styleId="Heading2">
    <w:name w:val="heading 2"/>
    <w:basedOn w:val="Normal"/>
    <w:next w:val="Normal"/>
    <w:qFormat/>
    <w:pPr>
      <w:keepNext w:val="true"/>
      <w:numPr>
        <w:ilvl w:val="1"/>
        <w:numId w:val="1"/>
      </w:numPr>
      <w:outlineLvl w:val="1"/>
    </w:pPr>
    <w:rPr>
      <w:b/>
      <w:smallCaps/>
      <w:u w:val="single"/>
      <w:lang w:val="en-GB"/>
    </w:rPr>
  </w:style>
  <w:style w:type="paragraph" w:styleId="Heading3">
    <w:name w:val="heading 3"/>
    <w:basedOn w:val="Normal"/>
    <w:next w:val="Normal"/>
    <w:qFormat/>
    <w:pPr>
      <w:keepNext w:val="true"/>
      <w:numPr>
        <w:ilvl w:val="2"/>
        <w:numId w:val="1"/>
      </w:numPr>
      <w:outlineLvl w:val="2"/>
    </w:pPr>
    <w:rPr>
      <w:b/>
      <w:bCs/>
      <w:smallCaps/>
      <w:lang w:val="en-GB"/>
    </w:rPr>
  </w:style>
  <w:style w:type="paragraph" w:styleId="Heading4">
    <w:name w:val="heading 4"/>
    <w:basedOn w:val="Normal"/>
    <w:next w:val="Normal"/>
    <w:qFormat/>
    <w:pPr>
      <w:keepNext w:val="true"/>
      <w:numPr>
        <w:ilvl w:val="3"/>
        <w:numId w:val="1"/>
      </w:numPr>
      <w:outlineLvl w:val="3"/>
    </w:pPr>
    <w:rPr>
      <w:b/>
      <w:bCs/>
      <w:sz w:val="16"/>
      <w:lang w:val="en-GB"/>
    </w:rPr>
  </w:style>
  <w:style w:type="character" w:styleId="WW8Num1z0">
    <w:name w:val="WW8Num1z0"/>
    <w:qFormat/>
    <w:rPr>
      <w:rFonts w:ascii="Wingdings" w:hAnsi="Wingdings" w:cs="Wingdings"/>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sz w:val="20"/>
    </w:rPr>
  </w:style>
  <w:style w:type="character" w:styleId="WW8Num3z1">
    <w:name w:val="WW8Num3z1"/>
    <w:qFormat/>
    <w:rPr>
      <w:rFonts w:ascii="Symbol" w:hAnsi="Symbol" w:cs="Symbol"/>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color w:val="000000"/>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sz w:val="2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Wingdings" w:hAnsi="Wingdings" w:cs="Wingdings"/>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sz w:val="2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Wingdings" w:hAnsi="Wingdings" w:cs="Wingdings"/>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sz w:val="2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color w:val="000000"/>
      <w:sz w:val="16"/>
    </w:rPr>
  </w:style>
  <w:style w:type="character" w:styleId="WW8Num21z1">
    <w:name w:val="WW8Num21z1"/>
    <w:qFormat/>
    <w:rPr>
      <w:rFonts w:ascii="Wingdings" w:hAnsi="Wingdings" w:cs="Wingdings"/>
      <w:sz w:val="16"/>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sz w:val="20"/>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Wingdings" w:hAnsi="Wingdings" w:cs="Wingdings"/>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000000"/>
      <w:sz w:val="16"/>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Wingdings" w:hAnsi="Wingdings" w:cs="Wingdings"/>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package" Target="embeddings/oleObject3.xlsx"/><Relationship Id="rId9" Type="http://schemas.openxmlformats.org/officeDocument/2006/relationships/image" Target="media/image3.wmf"/><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package" Target="embeddings/oleObject4.xlsx"/><Relationship Id="rId15" Type="http://schemas.openxmlformats.org/officeDocument/2006/relationships/image" Target="media/image4.wmf"/><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package" Target="embeddings/oleObject5.xlsx"/><Relationship Id="rId21" Type="http://schemas.openxmlformats.org/officeDocument/2006/relationships/image" Target="media/image5.wmf"/><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6.xml"/><Relationship Id="rId25" Type="http://schemas.openxmlformats.org/officeDocument/2006/relationships/footer" Target="footer7.xml"/><Relationship Id="rId26" Type="http://schemas.openxmlformats.org/officeDocument/2006/relationships/package" Target="embeddings/oleObject6.xlsx"/><Relationship Id="rId27" Type="http://schemas.openxmlformats.org/officeDocument/2006/relationships/image" Target="media/image6.wmf"/><Relationship Id="rId28" Type="http://schemas.openxmlformats.org/officeDocument/2006/relationships/header" Target="header8.xml"/><Relationship Id="rId29" Type="http://schemas.openxmlformats.org/officeDocument/2006/relationships/header" Target="header9.xml"/><Relationship Id="rId30" Type="http://schemas.openxmlformats.org/officeDocument/2006/relationships/footer" Target="footer8.xml"/><Relationship Id="rId31" Type="http://schemas.openxmlformats.org/officeDocument/2006/relationships/footer" Target="footer9.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2001-05-15T10:28:00Z</dcterms:created>
  <dc:creator>amcandre</dc:creator>
  <dc:description/>
  <dc:language>en-CA</dc:language>
  <cp:lastModifiedBy>amcandre</cp:lastModifiedBy>
  <cp:lastPrinted>2001-05-16T09:38:00Z</cp:lastPrinted>
  <dcterms:modified xsi:type="dcterms:W3CDTF">2001-05-16T06:10:00Z</dcterms:modified>
  <cp:revision>6</cp:revision>
  <dc:subject/>
  <dc:title>ENRON EUROPE TRADE SUPPORT – SETTLEMENTS</dc:title>
</cp:coreProperties>
</file>