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Management Committee Survey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BodyText"/>
        <w:rPr/>
      </w:pPr>
      <w:r>
        <w:rPr/>
        <w:t xml:space="preserve">*For each issue listed below, indicate whether you believe the issue is </w:t>
      </w:r>
      <w:r>
        <w:rPr>
          <w:i/>
          <w:iCs/>
        </w:rPr>
        <w:t>real</w:t>
      </w:r>
      <w:r>
        <w:rPr/>
        <w:t xml:space="preserve"> or </w:t>
      </w:r>
      <w:r>
        <w:rPr>
          <w:i/>
          <w:iCs/>
        </w:rPr>
        <w:t>exaggerated</w:t>
      </w:r>
      <w:r>
        <w:rPr/>
        <w:t xml:space="preserve"> </w:t>
      </w:r>
      <w:r>
        <w:rPr>
          <w:u w:val="single"/>
        </w:rPr>
        <w:t>and</w:t>
      </w:r>
      <w:r>
        <w:rPr/>
        <w:t xml:space="preserve"> </w:t>
      </w:r>
      <w:r>
        <w:rPr>
          <w:i/>
          <w:iCs/>
        </w:rPr>
        <w:t>in</w:t>
      </w:r>
      <w:r>
        <w:rPr/>
        <w:t xml:space="preserve"> or </w:t>
      </w:r>
      <w:r>
        <w:rPr>
          <w:i/>
          <w:iCs/>
        </w:rPr>
        <w:t>out of our control</w:t>
      </w:r>
      <w:r>
        <w:rPr/>
        <w:t xml:space="preserve">.  Then please circle the top three </w:t>
      </w:r>
      <w:r>
        <w:rPr>
          <w:i/>
          <w:iCs/>
          <w:u w:val="single"/>
        </w:rPr>
        <w:t>real</w:t>
      </w:r>
      <w:r>
        <w:rPr/>
        <w:t xml:space="preserve"> issues you believe are most impacting our external reputation.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29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68"/>
        <w:gridCol w:w="1920"/>
        <w:gridCol w:w="2520"/>
        <w:gridCol w:w="2280"/>
        <w:gridCol w:w="2760"/>
      </w:tblGrid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  <w:shd w:fill="000000" w:val="clear"/>
          </w:tcPr>
          <w:p>
            <w:pPr>
              <w:pStyle w:val="Heading1"/>
              <w:ind w:hanging="0" w:start="0"/>
              <w:jc w:val="center"/>
              <w:rPr>
                <w:color w:val="FFFFFF"/>
                <w:highlight w:val="black"/>
              </w:rPr>
            </w:pPr>
            <w:r>
              <w:rPr>
                <w:color w:val="FFFFFF"/>
                <w:highlight w:val="black"/>
              </w:rPr>
              <w:t>ISSUES</w:t>
            </w:r>
          </w:p>
          <w:p>
            <w:pPr>
              <w:pStyle w:val="Normal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(Please circle Top 3)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1"/>
              <w:ind w:hanging="0" w:start="0"/>
              <w:jc w:val="center"/>
              <w:rPr>
                <w:color w:val="FFFFFF"/>
                <w:highlight w:val="black"/>
              </w:rPr>
            </w:pPr>
            <w:r>
              <w:rPr>
                <w:color w:val="FFFFFF"/>
                <w:highlight w:val="black"/>
              </w:rPr>
              <w:t>REAL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  <w:shd w:fill="000000" w:val="clear"/>
          </w:tcPr>
          <w:p>
            <w:pPr>
              <w:pStyle w:val="Heading1"/>
              <w:ind w:hanging="0" w:start="0"/>
              <w:jc w:val="center"/>
              <w:rPr>
                <w:color w:val="FFFFFF"/>
                <w:highlight w:val="black"/>
              </w:rPr>
            </w:pPr>
            <w:r>
              <w:rPr>
                <w:color w:val="FFFFFF"/>
                <w:highlight w:val="black"/>
              </w:rPr>
              <w:t>EXAGGERATED</w:t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ind w:hanging="0" w:start="0"/>
              <w:rPr>
                <w:color w:val="FFFFFF"/>
                <w:highlight w:val="black"/>
              </w:rPr>
            </w:pPr>
            <w:r>
              <w:rPr>
                <w:color w:val="FFFFFF"/>
                <w:highlight w:val="black"/>
              </w:rPr>
              <w:t>WITHIN OUR CONTROL</w:t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1"/>
              <w:ind w:hanging="0" w:start="0"/>
              <w:jc w:val="center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OUTSIDE OUR CONTROL</w:t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Dabhol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the way we treat our customers/counterparties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personal conduct of management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blackbox”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aggressive accounting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creative financing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too much hype/spin   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related party transactions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failed businesses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low ROE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broad based (i.e. marketwide) decline in multiples and equity valuations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difficulty of defining Enron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political contributions (influence buying)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rPr/>
            </w:pPr>
            <w:r>
              <w:rPr/>
              <w:t>Others (please list):</w:t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2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ckThinSmallGap" w:sz="2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6" w:space="0" w:color="000000"/>
              <w:start w:val="thickThinSmallGap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2001-09-06T13:33:00Z</dcterms:created>
  <dc:creator>aschmid</dc:creator>
  <dc:description/>
  <dc:language>en-CA</dc:language>
  <cp:lastModifiedBy>aschmid</cp:lastModifiedBy>
  <cp:lastPrinted>2001-09-06T14:00:00Z</cp:lastPrinted>
  <dcterms:modified xsi:type="dcterms:W3CDTF">2001-09-06T16:31:00Z</dcterms:modified>
  <cp:revision>22</cp:revision>
  <dc:subject/>
  <dc:title>Management Committee Survey</dc:title>
</cp:coreProperties>
</file>