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60" w:type="dxa"/>
        <w:jc w:val="start"/>
        <w:tblInd w:w="288" w:type="dxa"/>
        <w:tblLayout w:type="fixed"/>
        <w:tblCellMar>
          <w:top w:w="0" w:type="dxa"/>
          <w:start w:w="108" w:type="dxa"/>
          <w:bottom w:w="0" w:type="dxa"/>
          <w:end w:w="108" w:type="dxa"/>
        </w:tblCellMar>
      </w:tblPr>
      <w:tblGrid>
        <w:gridCol w:w="10260"/>
      </w:tblGrid>
      <w:tr>
        <w:trPr>
          <w:tblHeader w:val="true"/>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pPr>
            <w:r>
              <w:rPr>
                <w:sz w:val="28"/>
              </w:rPr>
              <w:t>WSCC Control Areas/Transmission Providers cannot deny tags for information that is not expressly required by NERC Policy 3 or the following WSCC Business Practices. WSCC E-Tag transactions can be denied if information that is prescribed in the WSCC E-Tag Business Practices is not included in the E-Tag submittal.</w:t>
            </w:r>
          </w:p>
          <w:p>
            <w:pPr>
              <w:pStyle w:val="Normal"/>
              <w:tabs>
                <w:tab w:val="left" w:pos="720" w:leader="none"/>
              </w:tabs>
              <w:rPr>
                <w:sz w:val="28"/>
              </w:rPr>
            </w:pPr>
            <w:r>
              <w:rPr>
                <w:sz w:val="28"/>
              </w:rPr>
            </w:r>
          </w:p>
          <w:p>
            <w:pPr>
              <w:pStyle w:val="Normal"/>
              <w:tabs>
                <w:tab w:val="left" w:pos="720" w:leader="none"/>
              </w:tabs>
              <w:ind w:start="720" w:end="0"/>
              <w:rPr>
                <w:sz w:val="28"/>
              </w:rPr>
            </w:pPr>
            <w:r>
              <w:rPr>
                <w:sz w:val="28"/>
              </w:rPr>
              <w:t>If a tag is denied, the control area and/or transmission provider needs to give a valid and descriptive reason for the denial.</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pPr>
            <w:r>
              <w:rPr/>
              <w:t>If a tag is errantly denied and the tag is in the DENIAL composite state, the denying CA needs to take action to ensure the schedule associated with the tag flows and the denied tag is faxed to the other CA’s and TP’s with “Approval” written on the tag.</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Time Zone of tag has to be included on all faxed tags.</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Control Areas, PSE’s, and Energy Products are assumed the same until changed in the associated column.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The first line of a tag will default to be the generator and the last line will default to be the load. No G or L is required in the Info field. Information can still be placed in the Info field BUT IN EITHER CASE; IT IS NOT A VALID DENIAL IF NOT INCLUDED, unless it is the information required in BP 13 to identify the generation product type, then is shall be required.</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The OASIS field information will be filled in with the data provided and required by the Transmission Provider. Per NERC Policy 3 the TP listed in the TP field is the only entity with approval rights for that transmission segment.</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Continuous/Repeating Schedules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 xml:space="preserve">The repeating days will be used for transactions with the same energy profile for two or more days within the start and stop dates.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Transactions that are neither repeating nor constant delivery rate will only be tagged for a 24 hour (or less) period using the continuous function.</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Continuous will only be used for transactions of 24 hours or less or transactions with a constant delivery for the entire period tagged.</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Joint Owned Units (JOUs)- </w:t>
            </w:r>
            <w:r>
              <w:rPr>
                <w:color w:val="FF0000"/>
                <w:sz w:val="28"/>
              </w:rPr>
              <w:t>Please see example of Participant Plant Generation E-Tagging in attached Excel spreadsheet (to be included when completed)</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The Control Area with the specified unit participation in their ACE (Area Control Error) will be shown as the Sending Control Area. This rule does not imply the Control Area associated with the dynamic schedule is a physical control area at the JOU bus.</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 xml:space="preserve">The PSE who owns or schedules the output of the unit for the Generating Control Area is shown as the PSE on the first line.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Show the Control Area where the JOU electrically resides in the tag, on the second line of the tag.</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1"/>
                <w:numId w:val="1"/>
              </w:numPr>
              <w:tabs>
                <w:tab w:val="clear" w:pos="720"/>
                <w:tab w:val="left" w:pos="1440" w:leader="none"/>
              </w:tabs>
              <w:ind w:hanging="900" w:start="1440" w:end="0"/>
              <w:rPr>
                <w:sz w:val="28"/>
              </w:rPr>
            </w:pPr>
            <w:r>
              <w:rPr>
                <w:sz w:val="28"/>
              </w:rPr>
              <w:t>Show the Control Area who schedules the JOU bus (scheduling agent, Host Control Area) on the third line if applicable.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The entity in the PSE field shown on TP lines indicates the party who owns the transmission rights.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b/>
                <w:i/>
                <w:i/>
                <w:sz w:val="28"/>
              </w:rPr>
            </w:pPr>
            <w:r>
              <w:rPr>
                <w:b/>
                <w:i/>
                <w:sz w:val="28"/>
              </w:rPr>
              <w:t>WSCC will conform to the NERC Policy 3 of assigning the load serving PSE the ultimate responsibility for the tag creation.  They may have another PSE in the transaction complete the tag, but the load serving PSE is responsible.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For transactions that occur at only one bus (i.e. no OASIS/GF transmission involved) use a willing TP on the second line with the same PSE as on the first line and the words “Single Bus” in the OASIS reservation field and “7-F” as the Product.</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Generator name (if contingent) or the System Name (if system energy) and LCA will be listed as the source entity and sink entity, respectively, in the data items of the E-Tag.</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The appropriate WSCC Energy Product (listed below) shall be shown in the Info Field on the generator line. Other information can appear in the Info field.</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WSCC Energy Product Codes:</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NF – Non-Firm</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FC – Firm Contingent</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FS – System Firm</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BodyTextIndent2"/>
              <w:ind w:firstLine="1080" w:start="0" w:end="0"/>
              <w:rPr>
                <w:sz w:val="28"/>
              </w:rPr>
            </w:pPr>
            <w:r>
              <w:rPr>
                <w:sz w:val="28"/>
              </w:rPr>
              <w:t>F1, F2, Fn – System Firm with 1, 2, n hour recall notice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FX – Firm through Exchange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CS – Spinning Reserve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CN – Non-spinning Reserve</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ind w:firstLine="1080" w:end="0"/>
              <w:rPr>
                <w:sz w:val="28"/>
              </w:rPr>
            </w:pPr>
            <w:r>
              <w:rPr>
                <w:sz w:val="28"/>
              </w:rPr>
              <w:t xml:space="preserve">REG – Regulation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Multiple transmission reservations or grandfathered transmission contracts may use the ‘level’ capability of the E-Tag. The PSE should list their stacked Transmission segments in descending order of priority.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For Cuts and Curtailments, current NERC Curtailment Policy procedure (Section D of Policy 3) requires verbal notification between source and sink followed by a request for an “Adjust” to the E-Tag.</w:t>
            </w:r>
          </w:p>
          <w:p>
            <w:pPr>
              <w:pStyle w:val="Normal"/>
              <w:rPr>
                <w:sz w:val="28"/>
              </w:rPr>
            </w:pPr>
            <w:r>
              <w:rPr>
                <w:b/>
                <w:color w:val="FF0000"/>
              </w:rPr>
              <w:t>Mark to word this as it is affected by Policy 3</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All WSCC Approval Services shall process tags according to NERC's Policy 3, Appendix 3A1 - Tag Submission and Response Timetables - Subsection B - Western Interconnection.</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Losses within WSCC are tagged on a separate tag unless otherwise required by the TP.</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 xml:space="preserve">Transactions that will run for an entire hour need to be tagged; other transactions that do not run for the entire hour do not need to be tagged. </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Intra Control Area transactions will not be E-Tagged unless required by the Control Area that the transaction is within.</w:t>
            </w:r>
          </w:p>
        </w:tc>
      </w:tr>
      <w:tr>
        <w:trPr/>
        <w:tc>
          <w:tcPr>
            <w:tcW w:w="102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left" w:pos="720" w:leader="none"/>
              </w:tabs>
              <w:ind w:hanging="720" w:start="720" w:end="0"/>
              <w:rPr>
                <w:sz w:val="28"/>
              </w:rPr>
            </w:pPr>
            <w:r>
              <w:rPr>
                <w:sz w:val="28"/>
              </w:rPr>
              <w:t>Bi-lateral inadvertent interchange payback will not be E-Tagged.</w:t>
            </w:r>
          </w:p>
        </w:tc>
      </w:tr>
    </w:tbl>
    <w:p>
      <w:pPr>
        <w:pStyle w:val="Normal"/>
        <w:rPr/>
      </w:pPr>
      <w:r>
        <w:rPr/>
      </w:r>
    </w:p>
    <w:sectPr>
      <w:headerReference w:type="default" r:id="rId2"/>
      <w:type w:val="nextPage"/>
      <w:pgSz w:w="12240" w:h="15840"/>
      <w:pgMar w:left="900" w:right="806" w:gutter="0" w:header="720" w:top="1800" w:footer="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pPr>
    <w:r>
      <w:rPr/>
      <w:t>WSCC ISAS E-Tag Business Practices</w:t>
    </w:r>
  </w:p>
  <w:p>
    <w:pPr>
      <w:pStyle w:val="Heading"/>
      <w:rPr/>
    </w:pPr>
    <w:r>
      <w:rPr/>
      <w:t>June 2001 Submitted for Due Process</w:t>
    </w:r>
  </w:p>
  <w:p>
    <w:pPr>
      <w:pStyle w:val="Heading"/>
      <w:rPr/>
    </w:pPr>
    <w:r>
      <w:rPr/>
      <w:t xml:space="preserve">BP # 10 changed from former BP's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i/>
    </w:rPr>
  </w:style>
  <w:style w:type="paragraph" w:styleId="BodyTextIndent2">
    <w:name w:val="Body Text Indent 2"/>
    <w:basedOn w:val="Normal"/>
    <w:qFormat/>
    <w:pPr>
      <w:ind w:hanging="0" w:start="1440" w:end="0"/>
    </w:pPr>
    <w:rPr>
      <w:sz w:val="36"/>
    </w:rPr>
  </w:style>
  <w:style w:type="paragraph" w:styleId="BodyTextIndent3">
    <w:name w:val="Body Text Indent 3"/>
    <w:basedOn w:val="Normal"/>
    <w:qFormat/>
    <w:pPr>
      <w:tabs>
        <w:tab w:val="clear" w:pos="720"/>
        <w:tab w:val="left" w:pos="1440" w:leader="none"/>
      </w:tabs>
      <w:ind w:hanging="0" w:start="1440" w:end="0"/>
    </w:pPr>
    <w:rPr>
      <w:i/>
      <w:color w:val="FF0000"/>
      <w:sz w:val="3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02"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2001-06-28T14:26:00Z</dcterms:created>
  <dc:creator>Hutch</dc:creator>
  <dc:description/>
  <dc:language>en-CA</dc:language>
  <cp:lastModifiedBy>Mark W. Hackney</cp:lastModifiedBy>
  <cp:lastPrinted>2000-11-03T15:15:00Z</cp:lastPrinted>
  <dcterms:modified xsi:type="dcterms:W3CDTF">2001-06-28T16:22:00Z</dcterms:modified>
  <cp:revision>5</cp:revision>
  <dc:subject/>
  <dc:title>WSCC ISAS E-Tag Business Practices</dc:title>
</cp:coreProperties>
</file>