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both"/>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center"/>
        <w:rPr>
          <w:sz w:val="22"/>
          <w:szCs w:val="22"/>
        </w:rPr>
      </w:pPr>
      <w:r>
        <w:rPr>
          <w:sz w:val="22"/>
          <w:szCs w:val="22"/>
        </w:rPr>
      </w:r>
    </w:p>
    <w:p>
      <w:pPr>
        <w:pStyle w:val="Normal"/>
        <w:spacing w:lineRule="atLeast" w:line="240"/>
        <w:ind w:firstLine="720" w:end="0"/>
        <w:jc w:val="both"/>
        <w:rPr/>
      </w:pPr>
      <w:r>
        <w:rPr>
          <w:sz w:val="22"/>
        </w:rPr>
        <w:t xml:space="preserve">This Guaranty Agreement (the "Guaranty"), dated effective as of September 27, 2001, is made and entered into by </w:t>
      </w:r>
      <w:r>
        <w:rPr>
          <w:caps/>
          <w:sz w:val="22"/>
        </w:rPr>
        <w:t>Enron Corp.</w:t>
      </w:r>
      <w:r>
        <w:rPr>
          <w:sz w:val="22"/>
        </w:rPr>
        <w:t>, an Oregon corporation ("Guarantor") in favor of Mahonia Limited.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MAHONIA LIMITED, a company incorporated under the laws of Jersey ("Counterparty") and ENRON NORTH AMERICA CORP. (the “Company"), a wholly-owned direct subsidiary of Guarantor, are contemplating entering into a Transaction (as defined in the Contract defined below) pursuant to a Swap Transaction Confirmation dated September 27, 2001 where the Company is the floating amount payer and executed by Counterparty and Company (the “Swap Transaction Confirmation”) (such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As used in this Guaranty, the following terms shall have the following meanings (such terms to be equally applicable to both the singular and the plural forms of the terms defined):</w:t>
      </w:r>
    </w:p>
    <w:p>
      <w:pPr>
        <w:pStyle w:val="Normal"/>
        <w:spacing w:lineRule="atLeast" w:line="240"/>
        <w:ind w:firstLine="720" w:end="0"/>
        <w:jc w:val="both"/>
        <w:rPr>
          <w:sz w:val="22"/>
        </w:rPr>
      </w:pPr>
      <w:r>
        <w:rPr>
          <w:sz w:val="22"/>
        </w:rPr>
      </w:r>
    </w:p>
    <w:p>
      <w:pPr>
        <w:pStyle w:val="Normal"/>
        <w:tabs>
          <w:tab w:val="clear" w:pos="720"/>
          <w:tab w:val="left" w:pos="-1260" w:leader="none"/>
          <w:tab w:val="left" w:pos="-1170" w:leader="none"/>
        </w:tabs>
        <w:spacing w:lineRule="atLeast" w:line="240"/>
        <w:ind w:firstLine="720" w:end="0"/>
        <w:jc w:val="both"/>
        <w:rPr/>
      </w:pPr>
      <w:r>
        <w:rPr>
          <w:sz w:val="22"/>
        </w:rPr>
        <w:t>“</w:t>
      </w:r>
      <w:r>
        <w:rPr>
          <w:sz w:val="22"/>
          <w:u w:val="single"/>
        </w:rPr>
        <w:t>Consolidated</w:t>
      </w:r>
      <w:r>
        <w:rPr>
          <w:sz w:val="22"/>
        </w:rPr>
        <w:t>” refers to the consolidation of the accounts of the Guarantor and its Subsidiaries in accordance with GAAP.</w:t>
      </w:r>
    </w:p>
    <w:p>
      <w:pPr>
        <w:pStyle w:val="Normal"/>
        <w:tabs>
          <w:tab w:val="clear" w:pos="720"/>
          <w:tab w:val="left" w:pos="-1260" w:leader="none"/>
          <w:tab w:val="left" w:pos="-1170" w:leader="none"/>
        </w:tabs>
        <w:spacing w:lineRule="atLeast" w:line="240"/>
        <w:ind w:firstLine="720" w:end="0"/>
        <w:rPr>
          <w:sz w:val="22"/>
        </w:rPr>
      </w:pPr>
      <w:r>
        <w:rPr>
          <w:sz w:val="22"/>
        </w:rPr>
      </w:r>
    </w:p>
    <w:p>
      <w:pPr>
        <w:pStyle w:val="Normal"/>
        <w:tabs>
          <w:tab w:val="clear" w:pos="720"/>
          <w:tab w:val="left" w:pos="-1260" w:leader="none"/>
          <w:tab w:val="left" w:pos="-1170" w:leader="none"/>
        </w:tabs>
        <w:spacing w:lineRule="atLeast" w:line="240"/>
        <w:ind w:firstLine="720" w:end="0"/>
        <w:jc w:val="both"/>
        <w:rPr/>
      </w:pPr>
      <w:r>
        <w:rPr>
          <w:sz w:val="22"/>
        </w:rPr>
        <w:t>“</w:t>
      </w:r>
      <w:r>
        <w:rPr>
          <w:sz w:val="22"/>
          <w:u w:val="single"/>
        </w:rPr>
        <w:t>Consolidated Net Worth</w:t>
      </w:r>
      <w:r>
        <w:rPr>
          <w:sz w:val="22"/>
        </w:rPr>
        <w:t>” means at any date the Consolidated stockholders’ equity of the Guarantor and its Consolidated Subsidiaries (excluding any Redeemable Preferred Stock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pacing w:val="-3"/>
          <w:sz w:val="22"/>
        </w:rPr>
        <w:t>"</w:t>
      </w:r>
      <w:r>
        <w:rPr>
          <w:spacing w:val="-3"/>
          <w:sz w:val="22"/>
          <w:u w:val="single"/>
        </w:rPr>
        <w:t>Debt</w:t>
      </w:r>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r>
        <w:rPr>
          <w:spacing w:val="-3"/>
          <w:sz w:val="22"/>
          <w:u w:val="single"/>
        </w:rPr>
        <w:t>provided</w:t>
      </w:r>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r>
        <w:rPr>
          <w:spacing w:val="-3"/>
          <w:sz w:val="22"/>
          <w:u w:val="single"/>
        </w:rPr>
        <w:t>provided</w:t>
      </w:r>
      <w:r>
        <w:rPr>
          <w:spacing w:val="-3"/>
          <w:sz w:val="22"/>
        </w:rPr>
        <w:t xml:space="preserve">, </w:t>
      </w:r>
      <w:r>
        <w:rPr>
          <w:spacing w:val="-3"/>
          <w:sz w:val="22"/>
          <w:u w:val="single"/>
        </w:rPr>
        <w:t>further</w:t>
      </w:r>
      <w:r>
        <w:rPr>
          <w:spacing w:val="-3"/>
          <w:sz w:val="22"/>
        </w:rPr>
        <w:t xml:space="preserve">, that the liability of any Person as a general partner of a partnership for Debt of such partnership, if such partnership is not a Subsidiary of such Person, shall not constitute Debt.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pPr>
      <w:r>
        <w:rPr>
          <w:sz w:val="22"/>
        </w:rPr>
        <w:t>“</w:t>
      </w:r>
      <w:r>
        <w:rPr>
          <w:sz w:val="22"/>
          <w:u w:val="single"/>
        </w:rPr>
        <w:t>Person</w:t>
      </w:r>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spacing w:lineRule="atLeast" w:line="240"/>
        <w:ind w:firstLine="720" w:end="0"/>
        <w:jc w:val="both"/>
        <w:rPr>
          <w:sz w:val="22"/>
        </w:rPr>
      </w:pPr>
      <w:r>
        <w:rPr>
          <w:sz w:val="22"/>
        </w:rPr>
      </w:r>
    </w:p>
    <w:p>
      <w:pPr>
        <w:pStyle w:val="Normal"/>
        <w:spacing w:lineRule="atLeast" w:line="240"/>
        <w:ind w:firstLine="720" w:end="0"/>
        <w:jc w:val="both"/>
        <w:rPr>
          <w:spacing w:val="-3"/>
          <w:sz w:val="22"/>
        </w:rPr>
      </w:pPr>
      <w:r>
        <w:rPr>
          <w:sz w:val="22"/>
        </w:rPr>
        <w:t>“</w:t>
      </w:r>
      <w:r>
        <w:rPr>
          <w:sz w:val="22"/>
          <w:u w:val="single"/>
        </w:rPr>
        <w:t>Preferred Stock</w:t>
      </w:r>
      <w:r>
        <w:rPr>
          <w:sz w:val="22"/>
        </w:rPr>
        <w:t>”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Principal Subsidiary</w:t>
      </w:r>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r>
        <w:rPr>
          <w:spacing w:val="-3"/>
          <w:sz w:val="22"/>
          <w:u w:val="single"/>
        </w:rPr>
        <w:t>provided that</w:t>
      </w:r>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Redeemable</w:t>
      </w:r>
      <w:r>
        <w:rPr>
          <w:spacing w:val="-3"/>
          <w:sz w:val="22"/>
        </w:rPr>
        <w:t>” means, as applied to any Preferred Stock, any Preferred Stock which (i) the issuer undertakes to redeem at a fixed or determinable date or dates (other than pursuant to the exercise of an option to redeem by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spacing w:lineRule="atLeast" w:line="240"/>
        <w:ind w:firstLine="720" w:end="0"/>
        <w:jc w:val="both"/>
        <w:rPr/>
      </w:pPr>
      <w:r>
        <w:rPr>
          <w:sz w:val="22"/>
        </w:rPr>
        <w:t>“</w:t>
      </w:r>
      <w:r>
        <w:rPr>
          <w:sz w:val="22"/>
          <w:u w:val="single"/>
        </w:rPr>
        <w:t>Subsidiary</w:t>
      </w:r>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r>
        <w:rPr>
          <w:sz w:val="22"/>
          <w:u w:val="single"/>
        </w:rPr>
        <w:t>provided</w:t>
      </w:r>
      <w:r>
        <w:rPr>
          <w:sz w:val="22"/>
        </w:rPr>
        <w:t xml:space="preserve">, </w:t>
      </w:r>
      <w:r>
        <w:rPr>
          <w:sz w:val="22"/>
          <w:u w:val="single"/>
        </w:rPr>
        <w:t>however</w:t>
      </w:r>
      <w:r>
        <w:rPr>
          <w:sz w:val="22"/>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w:t>
      </w:r>
      <w:r>
        <w:rPr>
          <w:sz w:val="22"/>
          <w:u w:val="single"/>
        </w:rPr>
        <w:t>Subordinated Debt</w:t>
      </w:r>
      <w:r>
        <w:rPr>
          <w:sz w:val="22"/>
        </w:rPr>
        <w:t>” means, (a) the 8.25% Senior Subordinated Debentures due 2012 and the 6 ¾% Senior Subordinated Debentures due July 1, 2005 of the Guarantor issued pursuant to the Indenture dated as of February 1, 1987 between the Guarantor and NationsBank of Texas, N.A., as trustee, (b) the obligations of the Company under the Loan Agreement dated as of November 15, 1993, between the Company and Enron Capital L.L.C., (c) the obligations of the Guarantor under the Loan Agreement dated as of August 3, 1994, between the Guarantor and Enron Capital Resources, L.P., (d) the 7.75% Subordinated Debentures due 2016 of the Guarantor issued pursuant to the Indenture dated as of November 12, 1996 between the Guarantor and the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than the terms of such Senior Subordinated Debentures due 2012 of the Guarantor or (y) consented to by the Majority Banks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w:t>
      </w:r>
      <w:r>
        <w:rPr>
          <w:sz w:val="22"/>
          <w:u w:val="single"/>
        </w:rPr>
        <w:t>Total Capitalization</w:t>
      </w:r>
      <w:r>
        <w:rPr>
          <w:sz w:val="22"/>
        </w:rPr>
        <w:t>” means, at any time, the sum (without duplication) of (a) Total Senior Debt, (b) the total outstanding principal amount (or the book carrying amount of such Debt if issued at a discount) of Subordinated Debt of the Company and its Consolidated Subsidiaries, (c) Consolidated Net Worth less any amount thereof attributable to “minority interests” (as defined below), and (d) Redeemable Preferred Stock of the Company and its Consolidated Subsidiaries.  For the purpose of this definition, “minority interests” means any investment or interest of the Company in any corporation, partnership or other entity to the extent that the total amount thereof owned by the Company (directly or indirectly) constitutes 50% or less of all outstanding interests or investments in such corporation, partnership or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pPr>
      <w:r>
        <w:rPr>
          <w:spacing w:val="-3"/>
          <w:sz w:val="22"/>
        </w:rPr>
        <w:tab/>
        <w:t>“</w:t>
      </w:r>
      <w:r>
        <w:rPr>
          <w:spacing w:val="-3"/>
          <w:sz w:val="22"/>
          <w:u w:val="single"/>
        </w:rPr>
        <w:t>Total Senior Debt</w:t>
      </w:r>
      <w:r>
        <w:rPr>
          <w:spacing w:val="-3"/>
          <w:sz w:val="22"/>
        </w:rPr>
        <w:t>” means, at any time, all Consolidated Debt of the Guarantor and its Consolidated Subsidiaries other than Subordinated Debt.</w:t>
      </w:r>
    </w:p>
    <w:p>
      <w:pPr>
        <w:pStyle w:val="Normal"/>
        <w:spacing w:lineRule="atLeast" w:line="240"/>
        <w:ind w:firstLine="720" w:end="0"/>
        <w:jc w:val="both"/>
        <w:rPr>
          <w:spacing w:val="-3"/>
          <w:sz w:val="22"/>
        </w:rPr>
      </w:pPr>
      <w:r>
        <w:rPr>
          <w:spacing w:val="-3"/>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exact" w:line="240" w:before="240" w:after="0"/>
        <w:ind w:firstLine="720" w:end="0"/>
        <w:jc w:val="both"/>
        <w:rPr/>
      </w:pPr>
      <w:r>
        <w:rPr>
          <w:sz w:val="22"/>
        </w:rPr>
        <w:t>1.</w:t>
        <w:tab/>
      </w:r>
      <w:r>
        <w:rPr>
          <w:sz w:val="22"/>
          <w:u w:val="single"/>
        </w:rPr>
        <w:t>GUARANTY</w:t>
      </w:r>
      <w:r>
        <w:rPr>
          <w:sz w:val="22"/>
        </w:rPr>
        <w:t>.  Subject to the provisions hereof, Guarantor hereby irrevocably and unconditionally guarantees as primary obligor and not as surety the timely payment when due, whether at stated maturity by acceleration or otherwise,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Counterparty in enforcing Counterparty’s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2"/>
        </w:rPr>
      </w:pPr>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p>
    <w:p>
      <w:pPr>
        <w:pStyle w:val="Normal"/>
        <w:spacing w:lineRule="exact" w:line="240" w:before="240" w:after="0"/>
        <w:ind w:firstLine="720" w:end="0"/>
        <w:jc w:val="both"/>
        <w:rPr>
          <w:sz w:val="22"/>
        </w:rPr>
      </w:pPr>
      <w:r>
        <w:rPr>
          <w:sz w:val="22"/>
        </w:rPr>
        <w:t>(b)</w:t>
        <w:tab/>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2.</w:t>
        <w:tab/>
      </w:r>
      <w:r>
        <w:rPr>
          <w:sz w:val="22"/>
          <w:u w:val="single"/>
        </w:rPr>
        <w:t>DEMANDS AND NOTICE</w:t>
      </w:r>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3.</w:t>
        <w:tab/>
      </w:r>
      <w:r>
        <w:rPr>
          <w:sz w:val="22"/>
          <w:u w:val="single"/>
        </w:rPr>
        <w:t>REPRESENTATIONS AND WARRANTIES</w:t>
      </w:r>
      <w:r>
        <w:rPr>
          <w:sz w:val="22"/>
        </w:rPr>
        <w:t>.  Guarantor represents and warrants that: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4.</w:t>
        <w:tab/>
      </w:r>
      <w:r>
        <w:rPr>
          <w:sz w:val="22"/>
          <w:u w:val="single"/>
        </w:rPr>
        <w:t>SETOFFS AND COUNTERCLAIMS</w:t>
      </w:r>
      <w:r>
        <w:rPr>
          <w:sz w:val="22"/>
        </w:rPr>
        <w:t xml:space="preserve">.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w:t>
        <w:tab/>
        <w:t>The Guarantor guarantees that the Obligations will be paid strictly in accordance with the terms of the Contract without setoff or counterclaim relating to claims of the Guarantor against Counterparty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Counterparty)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Counterparty, without demand, to be credited and applied to any such amount payable by the Company.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If the Guarantor fails to pay any of the Guarantor’s obligations hereunder when the same shall become due and payable, or upon the occurrence of an Event of Default, Counterparty is hereby authorized at any time and from time to time, to the fullest extent permitted by law, to set off and apply any and all deposits (general or special, time or demand, provisional or final) at any time held and other indebtedness at any time owing by Counterparty to or for the Guarantor’s credit or account against any and all of the Obligations, whether or not Counterparty shall have made any demand under this Guaranty.  Counterparty agrees to promptly notify the Guarantor after any such set-off and application, provided that the failure to give notice shall not affect the validity of such set-off and application.  Counterparty’s rights under this paragraph are in addition to other rights and remedies (including, without limitation, other rights of set-off), which Counterparty may have.</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pPr>
      <w:r>
        <w:rPr>
          <w:sz w:val="22"/>
        </w:rPr>
        <w:t>5.</w:t>
        <w:tab/>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6.</w:t>
        <w:tab/>
      </w:r>
      <w:r>
        <w:rPr>
          <w:sz w:val="22"/>
          <w:u w:val="single"/>
        </w:rPr>
        <w:t>ASSIGNMENT</w:t>
      </w:r>
      <w:r>
        <w:rPr>
          <w:sz w:val="22"/>
        </w:rPr>
        <w:t>.  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or as security of or any hedging provided to Counterparty without the consent of the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7.</w:t>
        <w:tab/>
      </w:r>
      <w:r>
        <w:rPr>
          <w:sz w:val="22"/>
          <w:u w:val="single"/>
        </w:rPr>
        <w:t>COVENANTS</w:t>
      </w:r>
      <w:r>
        <w:rPr>
          <w:sz w:val="22"/>
        </w:rPr>
        <w:t>.  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ab/>
        <w:t>(a)</w:t>
        <w:tab/>
      </w:r>
      <w:r>
        <w:rPr>
          <w:i/>
          <w:sz w:val="22"/>
        </w:rPr>
        <w:t>Senior Debt Capitalization</w:t>
      </w:r>
      <w:r>
        <w:rPr>
          <w:sz w:val="22"/>
        </w:rPr>
        <w:t>.</w:t>
        <w:tab/>
        <w:t>Have a ratio of (i) Total Senior Debt to (ii) Total Capitalization greater than 65%.</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EVENTS OF DEFAULT</w:t>
      </w:r>
      <w:r>
        <w:rPr>
          <w:sz w:val="22"/>
        </w:rPr>
        <w:t>.</w:t>
      </w:r>
    </w:p>
    <w:p>
      <w:pPr>
        <w:pStyle w:val="Normal"/>
        <w:spacing w:lineRule="atLeast" w:line="240"/>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r>
        <w:rPr>
          <w:sz w:val="22"/>
        </w:rPr>
        <w:t xml:space="preserve"> or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(d)</w:t>
        <w:tab/>
        <w:t>The Guarantor shall fail to comply with any of the covenants set forth in Section 7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w:t>
        <w:tab/>
        <w:t>Any representation or warranty made by the Guarantor under or in connection with this Guaranty shall prove to have been incorrect in any material respect when made and such materiality is continuing.</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The Guarantor acknowledges that this Guaranty constitutes a Credit Support Document of the Company, as described in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hereby waives, </w:t>
      </w:r>
      <w:r>
        <w:rPr>
          <w:sz w:val="22"/>
          <w:u w:val="single"/>
        </w:rPr>
        <w:t>except as to applicable statutes of limitation with respect to the Guaranty</w:t>
      </w:r>
      <w:r>
        <w:rPr>
          <w:sz w:val="22"/>
        </w:rPr>
        <w:t>, (i) promptness, diligence, presentment, demand for payment, protest, order and all notices (whether of acceptance of this Guaranty by Counterparty, entering into any Transaction, non-payment by the Company, dishonor, protest or otherwise) and (ii) any requirement that Counterparty exhaust any right or take any action against the Company or any other person or entity or against any collateral security before proceeding to exercise any right or remedy against Guarantor.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10.</w:t>
        <w:tab/>
      </w:r>
      <w:r>
        <w:rPr>
          <w:sz w:val="22"/>
          <w:u w:val="single"/>
        </w:rPr>
        <w:t>EXPENSES</w:t>
      </w:r>
      <w:r>
        <w:rPr>
          <w:sz w:val="22"/>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11.</w:t>
        <w:tab/>
      </w:r>
      <w:r>
        <w:rPr>
          <w:sz w:val="22"/>
          <w:u w:val="single"/>
        </w:rPr>
        <w:t>SUBROGATION</w:t>
      </w:r>
      <w:r>
        <w:rPr>
          <w:sz w:val="22"/>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reasonably request to implement such subrogation.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12.</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r>
              <w:rPr>
                <w:sz w:val="21"/>
              </w:rPr>
              <w:t>To Counterparty:</w:t>
            </w:r>
          </w:p>
        </w:tc>
        <w:tc>
          <w:tcPr>
            <w:tcW w:w="2970" w:type="dxa"/>
            <w:tcBorders/>
          </w:tcPr>
          <w:p>
            <w:pPr>
              <w:pStyle w:val="Normal"/>
              <w:tabs>
                <w:tab w:val="clear" w:pos="720"/>
                <w:tab w:val="right" w:pos="2808" w:leader="none"/>
              </w:tabs>
              <w:spacing w:lineRule="atLeast" w:line="240"/>
              <w:rPr>
                <w:sz w:val="21"/>
              </w:rPr>
            </w:pPr>
            <w:r>
              <w:rPr>
                <w:sz w:val="21"/>
              </w:rPr>
              <w:t>Mahonia Limited</w:t>
            </w:r>
          </w:p>
        </w:tc>
        <w:tc>
          <w:tcPr>
            <w:tcW w:w="1440" w:type="dxa"/>
            <w:tcBorders/>
          </w:tcPr>
          <w:p>
            <w:pPr>
              <w:pStyle w:val="Normal"/>
              <w:spacing w:lineRule="atLeast" w:line="240"/>
              <w:jc w:val="both"/>
              <w:rPr>
                <w:sz w:val="21"/>
              </w:rPr>
            </w:pPr>
            <w:r>
              <w:rPr>
                <w:sz w:val="21"/>
              </w:rPr>
              <w:t>To Guarantor:</w:t>
            </w:r>
          </w:p>
        </w:tc>
        <w:tc>
          <w:tcPr>
            <w:tcW w:w="3330" w:type="dxa"/>
            <w:tcBorders/>
          </w:tcPr>
          <w:p>
            <w:pPr>
              <w:pStyle w:val="Normal"/>
              <w:tabs>
                <w:tab w:val="clear" w:pos="720"/>
                <w:tab w:val="left" w:pos="450" w:leader="none"/>
              </w:tabs>
              <w:spacing w:lineRule="atLeast" w:line="240"/>
              <w:jc w:val="both"/>
              <w:rPr>
                <w:sz w:val="21"/>
              </w:rPr>
            </w:pPr>
            <w:r>
              <w:rPr>
                <w:sz w:val="21"/>
              </w:rPr>
              <w:t>Enron Corp.</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22 Grenville Street</w:t>
            </w:r>
          </w:p>
          <w:p>
            <w:pPr>
              <w:pStyle w:val="Normal"/>
              <w:tabs>
                <w:tab w:val="clear" w:pos="720"/>
                <w:tab w:val="right" w:pos="3132" w:leader="none"/>
              </w:tabs>
              <w:spacing w:lineRule="atLeast" w:line="240"/>
              <w:jc w:val="both"/>
              <w:rPr>
                <w:sz w:val="21"/>
              </w:rPr>
            </w:pPr>
            <w:r>
              <w:rPr>
                <w:sz w:val="21"/>
              </w:rPr>
              <w:t>St Helier</w:t>
            </w:r>
          </w:p>
          <w:p>
            <w:pPr>
              <w:pStyle w:val="Normal"/>
              <w:tabs>
                <w:tab w:val="clear" w:pos="720"/>
                <w:tab w:val="right" w:pos="2808" w:leader="none"/>
              </w:tabs>
              <w:spacing w:lineRule="atLeast" w:line="240"/>
              <w:jc w:val="both"/>
              <w:rPr>
                <w:sz w:val="21"/>
              </w:rPr>
            </w:pPr>
            <w:r>
              <w:rPr>
                <w:sz w:val="21"/>
              </w:rPr>
              <w:t>Jersey, Channel Islands JE48PX</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r>
              <w:rPr>
                <w:sz w:val="21"/>
              </w:rPr>
              <w:t>1400 Smith Street</w:t>
            </w:r>
          </w:p>
          <w:p>
            <w:pPr>
              <w:pStyle w:val="Normal"/>
              <w:tabs>
                <w:tab w:val="clear" w:pos="720"/>
                <w:tab w:val="left" w:pos="450" w:leader="none"/>
              </w:tabs>
              <w:spacing w:lineRule="atLeast" w:line="240"/>
              <w:jc w:val="both"/>
              <w:rPr>
                <w:sz w:val="21"/>
              </w:rPr>
            </w:pPr>
            <w:r>
              <w:rPr>
                <w:sz w:val="21"/>
              </w:rPr>
              <w:t>Houston, Texas  77002</w:t>
            </w:r>
          </w:p>
          <w:p>
            <w:pPr>
              <w:pStyle w:val="Normal"/>
              <w:tabs>
                <w:tab w:val="clear" w:pos="720"/>
                <w:tab w:val="left" w:pos="450" w:leader="none"/>
              </w:tabs>
              <w:spacing w:lineRule="atLeast" w:line="240"/>
              <w:jc w:val="both"/>
              <w:rPr>
                <w:sz w:val="21"/>
              </w:rPr>
            </w:pPr>
            <w:r>
              <w:rPr>
                <w:sz w:val="21"/>
              </w:rPr>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r>
              <w:rPr>
                <w:sz w:val="21"/>
              </w:rPr>
              <w:t>Attn: Ian James</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r>
              <w:rPr>
                <w:sz w:val="21"/>
              </w:rPr>
              <w:t>Attn.:  Treasurer</w:t>
            </w:r>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rPr>
                <w:sz w:val="21"/>
              </w:rPr>
            </w:pPr>
            <w:r>
              <w:rPr>
                <w:sz w:val="21"/>
              </w:rPr>
              <w:t xml:space="preserve">Fax No: </w:t>
            </w:r>
            <w:r>
              <w:rPr>
                <w:sz w:val="22"/>
                <w:szCs w:val="17"/>
              </w:rPr>
              <w:t>44-1534-609333</w:t>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r>
              <w:rPr>
                <w:sz w:val="21"/>
              </w:rPr>
              <w:t>Fax No.:  (713)</w:t>
            </w:r>
            <w:r>
              <w:rPr>
                <w:color w:val="000000"/>
                <w:sz w:val="22"/>
              </w:rPr>
              <w:t xml:space="preserve"> ) 646-3422</w:t>
            </w:r>
          </w:p>
        </w:tc>
      </w:tr>
    </w:tbl>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13.</w:t>
        <w:tab/>
      </w:r>
      <w:r>
        <w:rPr>
          <w:sz w:val="22"/>
          <w:u w:val="single"/>
        </w:rPr>
        <w:t>MISCELLANEOUS</w:t>
      </w:r>
      <w:r>
        <w:rPr>
          <w:sz w:val="22"/>
        </w:rPr>
        <w:t xml:space="preserve">.  </w:t>
      </w:r>
      <w:r>
        <w:rPr>
          <w:b/>
          <w:sz w:val="22"/>
        </w:rPr>
        <w:t>THIS GUARANTY SHALL IN ALL RESPECTS BE GOVERNED BY, AND CONSTRUED IN ACCORDANCE WITH, THE LAW OF THE STATE OF NEW YORK WITHOUT REGARD TO PRINCIPLES OF CONFLICTS OF LAWS.</w:t>
      </w:r>
      <w:r>
        <w:rPr>
          <w:sz w:val="22"/>
        </w:rPr>
        <w:t xml:space="preserve">  This Guaranty shall be binding upon Guarantor, its successors and assigns and inure to the benefit of and be enforceable by Counterparty, its successors, transferees and assigns, including any person holding a security interest in Counterparty’s rights hereunder.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September 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rPr>
            </w:pPr>
            <w:r>
              <w:rPr>
                <w:b/>
                <w:sz w:val="22"/>
              </w:rPr>
              <w:t>ENRON CORP.</w:t>
            </w:r>
          </w:p>
          <w:p>
            <w:pPr>
              <w:pStyle w:val="Normal"/>
              <w:spacing w:lineRule="atLeast" w:line="240"/>
              <w:jc w:val="both"/>
              <w:rPr>
                <w:sz w:val="22"/>
              </w:rPr>
            </w:pPr>
            <w:r>
              <w:rPr>
                <w:sz w:val="22"/>
              </w:rPr>
            </w:r>
          </w:p>
          <w:p>
            <w:pPr>
              <w:pStyle w:val="Normal"/>
              <w:spacing w:lineRule="atLeast" w:line="240"/>
              <w:jc w:val="both"/>
              <w:rPr>
                <w:sz w:val="22"/>
              </w:rPr>
            </w:pPr>
            <w:r>
              <w:rPr>
                <w:sz w:val="22"/>
              </w:rPr>
            </w:r>
          </w:p>
          <w:p>
            <w:pPr>
              <w:pStyle w:val="Normal"/>
              <w:tabs>
                <w:tab w:val="left" w:pos="720" w:leader="none"/>
                <w:tab w:val="right" w:pos="5040" w:leader="none"/>
              </w:tabs>
              <w:spacing w:lineRule="atLeast" w:line="240"/>
              <w:jc w:val="both"/>
              <w:rPr/>
            </w:pPr>
            <w:r>
              <w:rPr>
                <w:sz w:val="22"/>
              </w:rPr>
              <w:t>By:</w:t>
              <w:tab/>
            </w:r>
            <w:r>
              <w:rPr>
                <w:sz w:val="22"/>
                <w:u w:val="single"/>
              </w:rPr>
              <w:tab/>
            </w:r>
          </w:p>
          <w:p>
            <w:pPr>
              <w:pStyle w:val="Normal"/>
              <w:tabs>
                <w:tab w:val="left" w:pos="720" w:leader="none"/>
                <w:tab w:val="right" w:pos="5040" w:leader="none"/>
              </w:tabs>
              <w:spacing w:lineRule="atLeast" w:line="240"/>
              <w:jc w:val="both"/>
              <w:rPr/>
            </w:pPr>
            <w:r>
              <w:rPr>
                <w:sz w:val="22"/>
              </w:rPr>
              <w:t>Name:</w:t>
              <w:tab/>
            </w:r>
            <w:r>
              <w:rPr>
                <w:sz w:val="22"/>
                <w:u w:val="single"/>
              </w:rPr>
              <w:tab/>
            </w:r>
            <w:r>
              <w:rPr>
                <w:sz w:val="22"/>
              </w:rPr>
              <w:t>_____________</w:t>
            </w:r>
          </w:p>
          <w:p>
            <w:pPr>
              <w:pStyle w:val="Normal"/>
              <w:tabs>
                <w:tab w:val="left" w:pos="720" w:leader="none"/>
                <w:tab w:val="right" w:pos="5040" w:leader="none"/>
              </w:tabs>
              <w:spacing w:lineRule="atLeast" w:line="240"/>
              <w:jc w:val="both"/>
              <w:rPr>
                <w:sz w:val="22"/>
                <w:u w:val="single"/>
              </w:rPr>
            </w:pPr>
            <w:r>
              <w:rPr>
                <w:sz w:val="22"/>
              </w:rPr>
              <w:t>Title:</w:t>
              <w:tab/>
            </w:r>
            <w:r>
              <w:rPr>
                <w:sz w:val="22"/>
                <w:u w:val="single"/>
              </w:rPr>
              <w:tab/>
            </w:r>
            <w:r>
              <w:rPr>
                <w:sz w:val="22"/>
              </w:rPr>
              <w:t>_____________</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exact" w:line="240"/>
        <w:ind w:end="720"/>
        <w:jc w:val="center"/>
        <w:rPr/>
      </w:pPr>
      <w:r>
        <w:rPr/>
      </w:r>
    </w:p>
    <w:p>
      <w:pPr>
        <w:pStyle w:val="Normal"/>
        <w:rPr/>
      </w:pPr>
      <w:r>
        <w:rPr/>
      </w:r>
    </w:p>
    <w:sectPr>
      <w:footerReference w:type="default" r:id="rId2"/>
      <w:type w:val="nextPage"/>
      <w:pgSz w:w="12240" w:h="15840"/>
      <w:pgMar w:left="1440" w:right="1440" w:gutter="0" w:header="0" w:top="1440" w:footer="835"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2001-09-27T14:16:00Z</dcterms:created>
  <dc:creator>tjones</dc:creator>
  <dc:description/>
  <dc:language>en-CA</dc:language>
  <cp:lastModifiedBy>tjones</cp:lastModifiedBy>
  <cp:lastPrinted>2001-09-27T11:53:00Z</cp:lastPrinted>
  <dcterms:modified xsi:type="dcterms:W3CDTF">2001-09-27T14:26:00Z</dcterms:modified>
  <cp:revision>5</cp:revision>
  <dc:subject/>
  <dc:title>ENRON CORP</dc:title>
</cp:coreProperties>
</file>