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Alisha Mahabir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</w:t>
      </w:r>
      <w:r>
        <w:rPr>
          <w:rFonts w:cs="Arial" w:ascii="Arial" w:hAnsi="Arial"/>
          <w:b/>
        </w:rPr>
        <w:t>108117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Alisha Mahabir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 xml:space="preserve">Wednesday, March 14, 2001.  Alisha </w:t>
      </w:r>
      <w:r>
        <w:rPr>
          <w:rFonts w:cs="Arial" w:ascii="Arial" w:hAnsi="Arial"/>
        </w:rPr>
        <w:t xml:space="preserve">is a candidate for the </w:t>
      </w:r>
      <w:r>
        <w:rPr>
          <w:rFonts w:cs="Arial" w:ascii="Arial" w:hAnsi="Arial"/>
          <w:b/>
        </w:rPr>
        <w:t>Summer Law Clerk</w:t>
      </w:r>
      <w:r>
        <w:rPr>
          <w:rFonts w:cs="Arial" w:ascii="Arial" w:hAnsi="Arial"/>
        </w:rPr>
        <w:t xml:space="preserve"> position reporting to </w:t>
      </w:r>
      <w:r>
        <w:rPr>
          <w:rFonts w:cs="Arial" w:ascii="Arial" w:hAnsi="Arial"/>
          <w:b/>
        </w:rPr>
        <w:t>Gerald Nemec</w:t>
      </w:r>
      <w:r>
        <w:rPr>
          <w:rFonts w:cs="Arial" w:ascii="Arial" w:hAnsi="Arial"/>
        </w:rPr>
        <w:t>.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4205"/>
        <w:gridCol w:w="216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2:00PM-2:30PM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Sasha Divelbiss, Scheduler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>
                <w:rFonts w:cs="Arial" w:ascii="Arial" w:hAnsi="Arial"/>
              </w:rPr>
              <w:t>36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58714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2:30PM-3:00PM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Travis McCullough, VP &amp; Asst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EB3817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54582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3:00PM-3:30PM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Julia Murray, Mng Director Legal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33439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3:30PM-4:00PM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Taylor, VP &amp;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EB3892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57893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4:00PM-4:30PM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Gerald Nemec, Attorney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EB3883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39282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Michelle Cash as soon as possible.  Thank You.</w:t>
      </w: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Travis McCullough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Taylor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Julia Murray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Gerald Nemec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  <w:t>Molly Magee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Stephanie Cody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Michelle Cash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Diane Goode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Pat Radford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Holly Keiser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Carolyn George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792324976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2001-03-05T15:07:00Z</dcterms:created>
  <dc:creator>evillarr</dc:creator>
  <dc:description/>
  <dc:language>en-CA</dc:language>
  <cp:lastModifiedBy>sdivelbi</cp:lastModifiedBy>
  <cp:lastPrinted>2001-03-05T11:36:00Z</cp:lastPrinted>
  <dcterms:modified xsi:type="dcterms:W3CDTF">2001-03-05T15:07:00Z</dcterms:modified>
  <cp:revision>2</cp:revision>
  <dc:subject/>
  <dc:title>To:</dc:title>
</cp:coreProperties>
</file>