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July 12, 1999</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Magnum Hunter Resources,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(972) 401-3110</w:t>
      </w:r>
      <w:r>
        <w:rPr>
          <w:sz w:val="22"/>
        </w:rPr>
        <w:fldChar w:fldCharType="end"/>
      </w:r>
    </w:p>
    <w:p>
      <w:pPr>
        <w:pStyle w:val="Normal"/>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Capital &amp; Trade Resources Corp. (“ECT”)</w:t>
      </w:r>
      <w:r>
        <w:rPr>
          <w:sz w:val="22"/>
        </w:rPr>
        <w:fldChar w:fldCharType="end"/>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EZ0466.1</w:t>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1,000 Barrels multiplied by the number of days in the relevant Determination Period</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Crude Oil</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 xml:space="preserve">Barrels (BBL) ( 42 U. S. Gallons ) </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July 12, 1999</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August 01, 1999</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August 01, 1999 and ending on December 31, 2000</w:t>
            </w:r>
            <w:r>
              <w:rPr>
                <w:sz w:val="22"/>
              </w:rPr>
              <w:fldChar w:fldCharType="end"/>
            </w:r>
            <w:r>
              <w:rPr>
                <w:sz w:val="22"/>
              </w:rPr>
              <w:t>, subject to Special Provisions noted below</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ECT</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$17.60000 per Barrel</w:t>
            </w:r>
            <w:r>
              <w:rPr>
                <w:sz w:val="22"/>
              </w:rPr>
              <w:fldChar w:fldCharType="end"/>
            </w:r>
          </w:p>
        </w:tc>
      </w:tr>
    </w:tbl>
    <w:p>
      <w:pPr>
        <w:pStyle w:val="Normal"/>
        <w:rPr>
          <w:sz w:val="22"/>
        </w:rPr>
      </w:pPr>
      <w:r>
        <w:rPr>
          <w:sz w:val="22"/>
        </w:rPr>
        <w:tab/>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1089" w:hRule="atLeast"/>
        </w:trPr>
        <w:tc>
          <w:tcPr>
            <w:tcW w:w="4338" w:type="dxa"/>
            <w:tcBorders/>
          </w:tcPr>
          <w:p>
            <w:pPr>
              <w:pStyle w:val="Normal"/>
              <w:ind w:start="720" w:end="0"/>
              <w:rPr>
                <w:sz w:val="22"/>
              </w:rPr>
            </w:pPr>
            <w:r>
              <w:rPr>
                <w:sz w:val="22"/>
              </w:rPr>
              <w:t>Floating Price:</w:t>
            </w:r>
          </w:p>
        </w:tc>
        <w:tc>
          <w:tcPr>
            <w:tcW w:w="6102" w:type="dxa"/>
            <w:tcBorders/>
          </w:tcPr>
          <w:p>
            <w:pPr>
              <w:pStyle w:val="Normal"/>
              <w:jc w:val="both"/>
              <w:rPr/>
            </w:pPr>
            <w:r>
              <w:rPr>
                <w:sz w:val="22"/>
              </w:rPr>
              <w:fldChar w:fldCharType="begin"/>
            </w:r>
            <w:r>
              <w:rPr>
                <w:sz w:val="22"/>
              </w:rPr>
              <w:instrText xml:space="preserve"> MERGEFIELD FloatPrice </w:instrText>
            </w:r>
            <w:r>
              <w:rPr>
                <w:sz w:val="22"/>
              </w:rPr>
              <w:fldChar w:fldCharType="separate"/>
            </w:r>
            <w:r>
              <w:rPr>
                <w:sz w:val="22"/>
              </w:rPr>
              <w:t>The average of the daily settlement prices for the prompt month of the NYMEX Light Sweet Crude Oil Futures Contract for each NYMEX Trading Day for the applicable Determination Period</w:t>
            </w:r>
            <w:r>
              <w:rPr>
                <w:sz w:val="22"/>
              </w:rPr>
              <w:fldChar w:fldCharType="end"/>
            </w:r>
            <w:r>
              <w:rPr>
                <w:sz w:val="22"/>
              </w:rPr>
              <w:t>, subject to Special Provisions noted below</w:t>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sz w:val="22"/>
        </w:rPr>
      </w:pPr>
      <w:r>
        <w:rPr>
          <w:b/>
          <w:sz w:val="22"/>
        </w:rPr>
        <w:t>Governing Law:</w:t>
      </w:r>
      <w:r>
        <w:rPr>
          <w:sz w:val="22"/>
        </w:rPr>
        <w:tab/>
        <w:tab/>
        <w:tab/>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Special Provisions:</w:t>
            </w:r>
          </w:p>
        </w:tc>
        <w:tc>
          <w:tcPr>
            <w:tcW w:w="6102" w:type="dxa"/>
            <w:tcBorders/>
          </w:tcPr>
          <w:p>
            <w:pPr>
              <w:pStyle w:val="Normal"/>
              <w:numPr>
                <w:ilvl w:val="0"/>
                <w:numId w:val="2"/>
              </w:numPr>
              <w:jc w:val="both"/>
              <w:rPr>
                <w:sz w:val="22"/>
              </w:rPr>
            </w:pPr>
            <w:r>
              <w:rPr>
                <w:sz w:val="22"/>
              </w:rPr>
              <w:t xml:space="preserve">If for any Determination Period from and including August 1, 1999 to and including December 31, 1999 the Floating Price is equal to or less than U.S. $16.50, then no payment shall be due with respect to such Determination Period.  </w:t>
            </w:r>
          </w:p>
          <w:p>
            <w:pPr>
              <w:pStyle w:val="Normal"/>
              <w:numPr>
                <w:ilvl w:val="0"/>
                <w:numId w:val="2"/>
              </w:numPr>
              <w:jc w:val="both"/>
              <w:rPr>
                <w:sz w:val="22"/>
              </w:rPr>
            </w:pPr>
            <w:r>
              <w:rPr>
                <w:sz w:val="22"/>
              </w:rPr>
              <w:t xml:space="preserve">If upon the close of NYMEX trading on December 30, 1999, ECT’s calculation for a calendar year 2000 swap, </w:t>
            </w:r>
            <w:r>
              <w:rPr>
                <w:b/>
                <w:color w:val="FF0000"/>
                <w:sz w:val="22"/>
              </w:rPr>
              <w:t>using posted closing prices</w:t>
            </w:r>
            <w:r>
              <w:rPr>
                <w:sz w:val="22"/>
              </w:rPr>
              <w:t xml:space="preserve"> for the period from January 1, 2000 through December 31, 2000 is equal to or below U.S. $16.50, then this Transaction shall terminate and no further payments will be owed by either party.</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Capital &amp; Trade Resources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Magnum Hunter Resources, Inc.</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July 15, 1999</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 xml:space="preserve">,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 xml:space="preserve">Address for Notices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c>
          <w:tcPr>
            <w:tcW w:w="4932" w:type="dxa"/>
            <w:tcBorders/>
          </w:tcPr>
          <w:p>
            <w:pPr>
              <w:pStyle w:val="Normal"/>
              <w:rPr>
                <w:sz w:val="22"/>
              </w:rPr>
            </w:pPr>
            <w:r>
              <w:rPr>
                <w:b/>
                <w:sz w:val="22"/>
              </w:rPr>
              <w:t xml:space="preserve">Payment Account Information for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EZ0466.1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1999-07-20T17:42:00Z</dcterms:created>
  <dc:creator>ECT</dc:creator>
  <dc:description/>
  <dc:language>en-CA</dc:language>
  <cp:lastModifiedBy>mlozano</cp:lastModifiedBy>
  <dcterms:modified xsi:type="dcterms:W3CDTF">1999-07-20T17:42:00Z</dcterms:modified>
  <cp:revision>2</cp:revision>
  <dc:subject>Magnum Hunter Resources, Inc.</dc:subject>
  <dc:title>EZ0466.1</dc:title>
</cp:coreProperties>
</file>