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Corp.</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jc w:val="center"/>
        <w:rPr>
          <w:b/>
          <w:sz w:val="22"/>
        </w:rPr>
      </w:pPr>
      <w:r>
        <w:rPr>
          <w:b/>
          <w:sz w:val="22"/>
        </w:rPr>
        <w:t xml:space="preserve">This Second Revised Confirmation supersedes all prior Confirmations relating to the subject matter hereof, including the Confirmation dated January 19, 1999 made and </w:t>
      </w:r>
    </w:p>
    <w:p>
      <w:pPr>
        <w:pStyle w:val="Normal"/>
        <w:jc w:val="center"/>
        <w:rPr>
          <w:b/>
          <w:sz w:val="22"/>
        </w:rPr>
      </w:pPr>
      <w:r>
        <w:rPr>
          <w:b/>
          <w:sz w:val="22"/>
        </w:rPr>
        <w:t>entered into between the parties hereto.</w:t>
      </w:r>
    </w:p>
    <w:p>
      <w:pPr>
        <w:pStyle w:val="Normal"/>
        <w:jc w:val="center"/>
        <w:rPr>
          <w:b/>
          <w:sz w:val="22"/>
        </w:rPr>
      </w:pPr>
      <w:r>
        <w:rPr>
          <w:b/>
          <w:sz w:val="22"/>
        </w:rPr>
      </w:r>
    </w:p>
    <w:p>
      <w:pPr>
        <w:pStyle w:val="Normal"/>
        <w:jc w:val="center"/>
        <w:rPr>
          <w:b/>
          <w:sz w:val="22"/>
        </w:rPr>
      </w:pPr>
      <w:r>
        <w:rPr>
          <w:b/>
          <w:sz w:val="22"/>
        </w:rPr>
        <w:t>Revision to Call Strike Price</w:t>
      </w:r>
    </w:p>
    <w:p>
      <w:pPr>
        <w:pStyle w:val="Normal"/>
        <w:widowControl/>
        <w:jc w:val="center"/>
        <w:rPr>
          <w:b/>
          <w:sz w:val="22"/>
        </w:rPr>
      </w:pPr>
      <w:r>
        <w:rPr>
          <w:b/>
          <w:sz w:val="22"/>
        </w:rPr>
      </w:r>
    </w:p>
    <w:p>
      <w:pPr>
        <w:pStyle w:val="Normal"/>
        <w:widowControl/>
        <w:jc w:val="center"/>
        <w:rPr>
          <w:b/>
          <w:sz w:val="22"/>
        </w:rPr>
      </w:pPr>
      <w:r>
        <w:rPr>
          <w:b/>
          <w:sz w:val="22"/>
          <w:u w:val="single"/>
        </w:rPr>
        <w:t>CONFIRMATION</w:t>
      </w:r>
    </w:p>
    <w:p>
      <w:pPr>
        <w:pStyle w:val="Normal"/>
        <w:widowControl/>
        <w:jc w:val="center"/>
        <w:rPr>
          <w:b/>
          <w:sz w:val="22"/>
        </w:rPr>
      </w:pPr>
      <w:r>
        <w:rPr>
          <w:b/>
          <w:sz w:val="22"/>
        </w:rPr>
        <w:t>(Extendable Collar)</w:t>
      </w:r>
    </w:p>
    <w:p>
      <w:pPr>
        <w:pStyle w:val="Normal"/>
        <w:widowControl/>
        <w:rPr>
          <w:b/>
          <w:sz w:val="22"/>
        </w:rPr>
      </w:pPr>
      <w:r>
        <w:rPr>
          <w:b/>
          <w:sz w:val="22"/>
        </w:rPr>
      </w:r>
    </w:p>
    <w:p>
      <w:pPr>
        <w:pStyle w:val="Normal"/>
        <w:widowControl/>
        <w:rPr>
          <w:sz w:val="22"/>
        </w:rPr>
      </w:pPr>
      <w:r>
        <w:rPr>
          <w:sz w:val="22"/>
        </w:rPr>
        <w:t>Date:</w:t>
        <w:tab/>
        <w:tab/>
        <w:tab/>
        <w:tab/>
        <w:t>June 17, 1999</w:t>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Magnum Hunter Resources Inc.</w:t>
      </w:r>
      <w:r>
        <w:rPr>
          <w:sz w:val="22"/>
        </w:rPr>
        <w:fldChar w:fldCharType="end"/>
      </w:r>
      <w:r>
        <w:rPr>
          <w:sz w:val="22"/>
        </w:rPr>
        <w:t xml:space="preserve"> ("Counterparty")</w:t>
      </w:r>
    </w:p>
    <w:p>
      <w:pPr>
        <w:pStyle w:val="Normal"/>
        <w:widowControl/>
        <w:rPr>
          <w:sz w:val="22"/>
        </w:rPr>
      </w:pPr>
      <w:r>
        <w:rPr>
          <w:sz w:val="22"/>
        </w:rPr>
        <w:t>Attention:</w:t>
        <w:tab/>
        <w:tab/>
        <w:tab/>
        <w:t>Chris Tong</w:t>
      </w:r>
    </w:p>
    <w:p>
      <w:pPr>
        <w:pStyle w:val="Normal"/>
        <w:widowControl/>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(972) 401-</w:t>
      </w:r>
      <w:r>
        <w:rPr>
          <w:sz w:val="22"/>
        </w:rPr>
        <w:fldChar w:fldCharType="end"/>
      </w:r>
      <w:r>
        <w:rPr>
          <w:sz w:val="22"/>
        </w:rPr>
        <w:t>3110</w:t>
      </w:r>
    </w:p>
    <w:p>
      <w:pPr>
        <w:pStyle w:val="Normal"/>
        <w:widowContro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Capital &amp; Trade Resources Corp. (“ECT”)</w:t>
      </w:r>
      <w:r>
        <w:rPr>
          <w:sz w:val="22"/>
        </w:rPr>
        <w:fldChar w:fldCharType="end"/>
      </w:r>
    </w:p>
    <w:p>
      <w:pPr>
        <w:pStyle w:val="Normal"/>
        <w:widowControl/>
        <w:rPr>
          <w:sz w:val="22"/>
        </w:rPr>
      </w:pPr>
      <w:r>
        <w:rPr>
          <w:sz w:val="22"/>
        </w:rPr>
        <w:t>Re:</w:t>
        <w:tab/>
        <w:tab/>
        <w:tab/>
        <w:tab/>
        <w:t>Commodity Option</w:t>
      </w:r>
    </w:p>
    <w:p>
      <w:pPr>
        <w:pStyle w:val="Normal"/>
        <w:widowControl/>
        <w:rPr/>
      </w:pPr>
      <w:r>
        <w:rPr>
          <w:sz w:val="22"/>
        </w:rPr>
        <w:t>Contract  No.:</w:t>
        <w:tab/>
        <w:tab/>
        <w:tab/>
      </w:r>
      <w:r>
        <w:rPr>
          <w:sz w:val="22"/>
        </w:rPr>
        <w:fldChar w:fldCharType="begin"/>
      </w:r>
      <w:r>
        <w:rPr>
          <w:sz w:val="22"/>
        </w:rPr>
        <w:instrText xml:space="preserve"> MERGEFIELD DealNumber </w:instrText>
      </w:r>
      <w:r>
        <w:rPr>
          <w:sz w:val="22"/>
        </w:rPr>
        <w:fldChar w:fldCharType="separate"/>
      </w:r>
      <w:r>
        <w:rPr>
          <w:sz w:val="22"/>
        </w:rPr>
        <w:t>ET0754.1</w:t>
      </w:r>
      <w:r>
        <w:rPr>
          <w:sz w:val="22"/>
        </w:rPr>
        <w:fldChar w:fldCharType="end"/>
      </w:r>
      <w:r>
        <w:rPr>
          <w:sz w:val="22"/>
        </w:rPr>
        <w:t>, .2</w:t>
      </w:r>
    </w:p>
    <w:p>
      <w:pPr>
        <w:pStyle w:val="Normal"/>
        <w:widowControl/>
        <w:rPr>
          <w:sz w:val="22"/>
        </w:rPr>
      </w:pPr>
      <w:r>
        <w:rPr>
          <w:sz w:val="22"/>
        </w:rPr>
      </w:r>
    </w:p>
    <w:p>
      <w:pPr>
        <w:pStyle w:val="Normal"/>
        <w:widowControl/>
        <w:ind w:end="-540"/>
        <w:jc w:val="both"/>
        <w:rPr>
          <w:sz w:val="22"/>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Craig Knight and Fred Lagrasta whereby we accepted your offer to enter into the Transaction.  </w:t>
      </w:r>
    </w:p>
    <w:p>
      <w:pPr>
        <w:pStyle w:val="Normal"/>
        <w:widowControl/>
        <w:ind w:end="-540"/>
        <w:jc w:val="both"/>
        <w:rPr>
          <w:sz w:val="22"/>
        </w:rPr>
      </w:pPr>
      <w:r>
        <w:rPr>
          <w:sz w:val="22"/>
        </w:rPr>
      </w:r>
    </w:p>
    <w:p>
      <w:pPr>
        <w:pStyle w:val="Normal"/>
        <w:widowControl/>
        <w:ind w:end="-540"/>
        <w:jc w:val="both"/>
        <w:rPr>
          <w:sz w:val="22"/>
        </w:rPr>
      </w:pPr>
      <w:r>
        <w:rPr>
          <w:sz w:val="22"/>
        </w:rPr>
        <w:tab/>
        <w:t>In consideration of the mutual covenants and agreements herein contained and in conjunction with ECT Contract No. EY1632.1,.2, the parties agree that the terms of the particular Transaction to which this Second Revised Confirmation relates are as follows:</w:t>
      </w:r>
    </w:p>
    <w:p>
      <w:pPr>
        <w:pStyle w:val="Normal"/>
        <w:widowControl/>
        <w:rPr>
          <w:sz w:val="22"/>
        </w:rPr>
      </w:pPr>
      <w:r>
        <w:rPr>
          <w:sz w:val="22"/>
        </w:rPr>
      </w:r>
    </w:p>
    <w:p>
      <w:pPr>
        <w:pStyle w:val="Normal"/>
        <w:rPr>
          <w:sz w:val="22"/>
        </w:rPr>
      </w:pPr>
      <w:r>
        <w:rPr>
          <w:sz w:val="22"/>
        </w:rPr>
        <w:t>TYPE OF TRANSACTION:</w:t>
        <w:tab/>
        <w:tab/>
        <w:tab/>
        <w:t xml:space="preserve">Extendable </w:t>
      </w:r>
      <w:r>
        <w:rPr>
          <w:sz w:val="22"/>
        </w:rPr>
        <w:fldChar w:fldCharType="begin"/>
      </w:r>
      <w:r>
        <w:rPr>
          <w:sz w:val="22"/>
        </w:rPr>
        <w:instrText xml:space="preserve"> MERGEFIELD InstrTypeCallPut </w:instrText>
      </w:r>
      <w:r>
        <w:rPr>
          <w:sz w:val="22"/>
        </w:rPr>
        <w:fldChar w:fldCharType="separate"/>
      </w:r>
      <w:r>
        <w:rPr>
          <w:sz w:val="22"/>
        </w:rPr>
        <w:t>Collar</w:t>
      </w:r>
      <w:r>
        <w:rPr>
          <w:sz w:val="22"/>
        </w:rPr>
        <w:fldChar w:fldCharType="end"/>
      </w:r>
    </w:p>
    <w:p>
      <w:pPr>
        <w:pStyle w:val="Normal"/>
        <w:rPr>
          <w:sz w:val="22"/>
        </w:rPr>
      </w:pPr>
      <w:r>
        <w:rPr>
          <w:sz w:val="22"/>
        </w:rPr>
      </w:r>
    </w:p>
    <w:p>
      <w:pPr>
        <w:pStyle w:val="Normal"/>
        <w:rPr>
          <w:sz w:val="22"/>
        </w:rPr>
      </w:pPr>
      <w:r>
        <w:rPr>
          <w:sz w:val="22"/>
        </w:rPr>
        <w:t>COMMODITY:</w:t>
        <w:tab/>
        <w:tab/>
        <w:tab/>
        <w:tab/>
        <w:t>Natural Gas</w:t>
      </w:r>
    </w:p>
    <w:p>
      <w:pPr>
        <w:pStyle w:val="Normal"/>
        <w:rPr>
          <w:sz w:val="22"/>
        </w:rPr>
      </w:pPr>
      <w:r>
        <w:rPr>
          <w:sz w:val="22"/>
        </w:rPr>
      </w:r>
    </w:p>
    <w:p>
      <w:pPr>
        <w:pStyle w:val="Normal"/>
        <w:rPr>
          <w:sz w:val="22"/>
        </w:rPr>
      </w:pPr>
      <w:r>
        <w:rPr>
          <w:sz w:val="22"/>
        </w:rPr>
        <w:t>COMMODITY UNIT:</w:t>
        <w:tab/>
        <w:tab/>
        <w:tab/>
        <w:tab/>
      </w: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p>
      <w:pPr>
        <w:pStyle w:val="Normal"/>
        <w:rPr>
          <w:sz w:val="22"/>
        </w:rPr>
      </w:pPr>
      <w:r>
        <w:rPr>
          <w:sz w:val="22"/>
        </w:rPr>
      </w:r>
    </w:p>
    <w:p>
      <w:pPr>
        <w:pStyle w:val="Normal"/>
        <w:rPr>
          <w:sz w:val="22"/>
        </w:rPr>
      </w:pPr>
      <w:r>
        <w:rPr>
          <w:sz w:val="22"/>
        </w:rPr>
        <w:t>TRADE DATE:</w:t>
        <w:tab/>
        <w:tab/>
        <w:tab/>
        <w:tab/>
        <w:tab/>
        <w:t>January 13, 1999</w:t>
      </w:r>
    </w:p>
    <w:p>
      <w:pPr>
        <w:pStyle w:val="Normal"/>
        <w:rPr>
          <w:sz w:val="22"/>
        </w:rPr>
      </w:pPr>
      <w:r>
        <w:rPr>
          <w:sz w:val="22"/>
        </w:rPr>
      </w:r>
    </w:p>
    <w:p>
      <w:pPr>
        <w:pStyle w:val="Normal"/>
        <w:rPr>
          <w:sz w:val="22"/>
        </w:rPr>
      </w:pPr>
      <w:r>
        <w:rPr>
          <w:sz w:val="22"/>
        </w:rPr>
        <w:t>EFFECTIVE DATE:</w:t>
        <w:tab/>
        <w:tab/>
        <w:tab/>
        <w:tab/>
        <w:t>April 1, 1999</w:t>
      </w:r>
    </w:p>
    <w:p>
      <w:pPr>
        <w:pStyle w:val="Normal"/>
        <w:rPr>
          <w:sz w:val="22"/>
        </w:rPr>
      </w:pPr>
      <w:r>
        <w:rPr>
          <w:sz w:val="22"/>
        </w:rPr>
      </w:r>
    </w:p>
    <w:p>
      <w:pPr>
        <w:pStyle w:val="Normal"/>
        <w:rPr>
          <w:sz w:val="22"/>
        </w:rPr>
      </w:pPr>
      <w:r>
        <w:rPr>
          <w:sz w:val="22"/>
        </w:rPr>
        <w:t>TERMINATION DATE:</w:t>
        <w:tab/>
        <w:tab/>
        <w:tab/>
        <w:t>October 31, 1999</w:t>
      </w:r>
    </w:p>
    <w:p>
      <w:pPr>
        <w:pStyle w:val="Normal"/>
        <w:rPr>
          <w:sz w:val="22"/>
        </w:rPr>
      </w:pPr>
      <w:r>
        <w:rPr>
          <w:sz w:val="22"/>
        </w:rPr>
      </w:r>
    </w:p>
    <w:p>
      <w:pPr>
        <w:pStyle w:val="Normal"/>
        <w:rPr>
          <w:sz w:val="22"/>
        </w:rPr>
      </w:pPr>
      <w:r>
        <w:rPr>
          <w:sz w:val="22"/>
        </w:rPr>
        <w:t xml:space="preserve">CALL FLOATING </w:t>
      </w:r>
    </w:p>
    <w:p>
      <w:pPr>
        <w:pStyle w:val="Normal"/>
        <w:ind w:hanging="4320" w:start="4320" w:end="0"/>
        <w:rPr>
          <w:sz w:val="22"/>
        </w:rPr>
      </w:pPr>
      <w:r>
        <w:rPr>
          <w:sz w:val="22"/>
        </w:rPr>
        <w:t>PRICE PAYOR:</w:t>
        <w:tab/>
        <w:t>Counterparty</w:t>
      </w:r>
      <w:r>
        <w:br w:type="page"/>
      </w:r>
    </w:p>
    <w:p>
      <w:pPr>
        <w:pStyle w:val="Normal"/>
        <w:rPr>
          <w:sz w:val="22"/>
        </w:rPr>
      </w:pPr>
      <w:r>
        <w:rPr>
          <w:sz w:val="22"/>
        </w:rPr>
      </w:r>
    </w:p>
    <w:p>
      <w:pPr>
        <w:pStyle w:val="BlockText"/>
        <w:jc w:val="both"/>
        <w:rPr/>
      </w:pPr>
      <w:r>
        <w:rPr/>
        <w:t>CALL STRIKE PRICE:</w:t>
        <w:tab/>
        <w:t>For each Determination Period commencing April 1, 1999 through and including June 30, 1999; $2.0500 per MMBtu</w:t>
      </w:r>
    </w:p>
    <w:p>
      <w:pPr>
        <w:pStyle w:val="BlockText"/>
        <w:rPr/>
      </w:pPr>
      <w:r>
        <w:rPr/>
      </w:r>
    </w:p>
    <w:p>
      <w:pPr>
        <w:pStyle w:val="BlockText"/>
        <w:ind w:hanging="0" w:end="-180"/>
        <w:jc w:val="both"/>
        <w:rPr/>
      </w:pPr>
      <w:r>
        <w:rPr/>
        <w:t xml:space="preserve">For each Determination Period commencing July 1, 1999 through and including October 31, 1999; $2.5000 per MMBtu </w:t>
      </w:r>
    </w:p>
    <w:p>
      <w:pPr>
        <w:pStyle w:val="Normal"/>
        <w:rPr>
          <w:sz w:val="22"/>
        </w:rPr>
      </w:pPr>
      <w:r>
        <w:rPr>
          <w:sz w:val="22"/>
        </w:rPr>
      </w:r>
    </w:p>
    <w:p>
      <w:pPr>
        <w:pStyle w:val="Normal"/>
        <w:rPr>
          <w:sz w:val="22"/>
        </w:rPr>
      </w:pPr>
      <w:r>
        <w:rPr>
          <w:sz w:val="22"/>
        </w:rPr>
        <w:t xml:space="preserve">PUT FLOATING </w:t>
      </w:r>
    </w:p>
    <w:p>
      <w:pPr>
        <w:pStyle w:val="Normal"/>
        <w:rPr>
          <w:sz w:val="22"/>
        </w:rPr>
      </w:pPr>
      <w:r>
        <w:rPr>
          <w:sz w:val="22"/>
        </w:rPr>
        <w:t>PRICE PAYOR:</w:t>
        <w:tab/>
        <w:tab/>
        <w:tab/>
        <w:t xml:space="preserve"> </w:t>
        <w:tab/>
        <w:t>ECT</w:t>
      </w:r>
    </w:p>
    <w:p>
      <w:pPr>
        <w:pStyle w:val="Normal"/>
        <w:rPr>
          <w:sz w:val="22"/>
        </w:rPr>
      </w:pPr>
      <w:r>
        <w:rPr>
          <w:sz w:val="22"/>
        </w:rPr>
      </w:r>
    </w:p>
    <w:p>
      <w:pPr>
        <w:pStyle w:val="Normal"/>
        <w:rPr>
          <w:sz w:val="22"/>
        </w:rPr>
      </w:pPr>
      <w:r>
        <w:rPr>
          <w:sz w:val="22"/>
        </w:rPr>
        <w:t>PUT STRIKE PRICE:</w:t>
        <w:tab/>
        <w:tab/>
        <w:tab/>
        <w:tab/>
        <w:t>$1.7000  per MMBtu</w:t>
      </w:r>
    </w:p>
    <w:p>
      <w:pPr>
        <w:pStyle w:val="Normal"/>
        <w:rPr>
          <w:sz w:val="22"/>
        </w:rPr>
      </w:pPr>
      <w:r>
        <w:rPr>
          <w:sz w:val="22"/>
        </w:rPr>
      </w:r>
    </w:p>
    <w:p>
      <w:pPr>
        <w:pStyle w:val="Normal"/>
        <w:rPr>
          <w:sz w:val="22"/>
        </w:rPr>
      </w:pPr>
      <w:r>
        <w:rPr>
          <w:sz w:val="22"/>
        </w:rPr>
        <w:t>NOTIONAL QUANTITY PER</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DETERMINATION PERIOD:</w:t>
            </w:r>
          </w:p>
        </w:tc>
        <w:tc>
          <w:tcPr>
            <w:tcW w:w="5238" w:type="dxa"/>
            <w:tcBorders/>
          </w:tcPr>
          <w:p>
            <w:pPr>
              <w:pStyle w:val="Header"/>
              <w:tabs>
                <w:tab w:val="clear" w:pos="4320"/>
                <w:tab w:val="clear" w:pos="8640"/>
              </w:tabs>
              <w:jc w:val="both"/>
              <w:rPr>
                <w:sz w:val="22"/>
              </w:rPr>
            </w:pPr>
            <w:r>
              <w:rPr>
                <w:sz w:val="22"/>
              </w:rPr>
              <w:t xml:space="preserve">300,000 MMBtu </w:t>
            </w:r>
          </w:p>
        </w:tc>
      </w:tr>
    </w:tbl>
    <w:p>
      <w:pPr>
        <w:pStyle w:val="Normal"/>
        <w:rPr>
          <w:sz w:val="22"/>
        </w:rPr>
      </w:pPr>
      <w:r>
        <w:rPr>
          <w:sz w:val="22"/>
        </w:rPr>
      </w:r>
    </w:p>
    <w:tbl>
      <w:tblPr>
        <w:tblW w:w="14904" w:type="dxa"/>
        <w:jc w:val="start"/>
        <w:tblInd w:w="0" w:type="dxa"/>
        <w:tblLayout w:type="fixed"/>
        <w:tblCellMar>
          <w:top w:w="0" w:type="dxa"/>
          <w:start w:w="108" w:type="dxa"/>
          <w:bottom w:w="0" w:type="dxa"/>
          <w:end w:w="108" w:type="dxa"/>
        </w:tblCellMar>
      </w:tblPr>
      <w:tblGrid>
        <w:gridCol w:w="4338"/>
        <w:gridCol w:w="5220"/>
        <w:gridCol w:w="5346"/>
      </w:tblGrid>
      <w:tr>
        <w:trPr/>
        <w:tc>
          <w:tcPr>
            <w:tcW w:w="4338" w:type="dxa"/>
            <w:tcBorders/>
          </w:tcPr>
          <w:p>
            <w:pPr>
              <w:pStyle w:val="Normal"/>
              <w:rPr>
                <w:sz w:val="22"/>
              </w:rPr>
            </w:pPr>
            <w:r>
              <w:rPr>
                <w:sz w:val="22"/>
              </w:rPr>
              <w:t>DETERMINATION PERIOD(S):</w:t>
            </w:r>
          </w:p>
        </w:tc>
        <w:tc>
          <w:tcPr>
            <w:tcW w:w="5220" w:type="dxa"/>
            <w:tcBorders/>
          </w:tcPr>
          <w:p>
            <w:pPr>
              <w:pStyle w:val="BodyTextIndent"/>
              <w:ind w:hanging="0" w:start="0" w:end="0"/>
              <w:jc w:val="both"/>
              <w:rPr>
                <w:sz w:val="22"/>
              </w:rPr>
            </w:pPr>
            <w:r>
              <w:rPr>
                <w:sz w:val="22"/>
              </w:rPr>
              <w:t xml:space="preserve">Each calendar month beginning with April 1, 1999 and ending on October 31, 1999. </w:t>
            </w:r>
          </w:p>
          <w:p>
            <w:pPr>
              <w:pStyle w:val="Normal"/>
              <w:ind w:hanging="639" w:start="639" w:end="0"/>
              <w:jc w:val="both"/>
              <w:rPr>
                <w:sz w:val="22"/>
              </w:rPr>
            </w:pPr>
            <w:r>
              <w:rPr>
                <w:sz w:val="22"/>
              </w:rPr>
            </w:r>
          </w:p>
        </w:tc>
        <w:tc>
          <w:tcPr>
            <w:tcW w:w="5346" w:type="dxa"/>
            <w:tcBorders/>
            <w:tcMar>
              <w:start w:w="0" w:type="dxa"/>
              <w:end w:w="0" w:type="dxa"/>
            </w:tcMar>
          </w:tcPr>
          <w:p>
            <w:pPr>
              <w:pStyle w:val="Normal"/>
              <w:snapToGrid w:val="false"/>
              <w:rPr>
                <w:sz w:val="22"/>
              </w:rPr>
            </w:pPr>
            <w:r>
              <w:rPr>
                <w:sz w:val="22"/>
              </w:rPr>
            </w:r>
          </w:p>
        </w:tc>
      </w:tr>
      <w:tr>
        <w:trPr/>
        <w:tc>
          <w:tcPr>
            <w:tcW w:w="4338" w:type="dxa"/>
            <w:tcBorders/>
          </w:tcPr>
          <w:p>
            <w:pPr>
              <w:pStyle w:val="Normal"/>
              <w:rPr>
                <w:sz w:val="22"/>
              </w:rPr>
            </w:pPr>
            <w:r>
              <w:rPr>
                <w:sz w:val="22"/>
              </w:rPr>
              <w:t>FLOATING PRICE:</w:t>
            </w:r>
          </w:p>
        </w:tc>
        <w:tc>
          <w:tcPr>
            <w:tcW w:w="522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Panhandle Eastern Pipe Line Co. - Texas, Oklahoma (mainline) Index price for delivery during the applicable Determination Period in the “Prices of Spot Gas Delivered to Pipelines” section located in the first issue of Inside F.E.R.C.’s Gas Market Report published during the applicable Determination Period</w:t>
            </w:r>
            <w:r>
              <w:rPr>
                <w:sz w:val="22"/>
              </w:rPr>
              <w:fldChar w:fldCharType="end"/>
            </w:r>
          </w:p>
          <w:p>
            <w:pPr>
              <w:pStyle w:val="Normal"/>
              <w:jc w:val="both"/>
              <w:rPr>
                <w:sz w:val="22"/>
              </w:rPr>
            </w:pPr>
            <w:r>
              <w:rPr>
                <w:sz w:val="22"/>
              </w:rPr>
            </w:r>
          </w:p>
        </w:tc>
        <w:tc>
          <w:tcPr>
            <w:tcW w:w="5346" w:type="dxa"/>
            <w:tcBorders/>
          </w:tcPr>
          <w:p>
            <w:pPr>
              <w:pStyle w:val="Normal"/>
              <w:snapToGrid w:val="false"/>
              <w:jc w:val="both"/>
              <w:rPr>
                <w:sz w:val="22"/>
              </w:rPr>
            </w:pPr>
            <w:r>
              <w:rPr>
                <w:sz w:val="22"/>
              </w:rPr>
            </w:r>
          </w:p>
        </w:tc>
      </w:tr>
    </w:tbl>
    <w:p>
      <w:pPr>
        <w:pStyle w:val="BodyTextIndent2"/>
        <w:rPr/>
      </w:pPr>
      <w:r>
        <w:rPr/>
        <w:t>CASH SETTLEMENT AMOUNT:</w:t>
        <w:tab/>
        <w:t>On the applicable Payment Date, either the Call Seller will pay the Call Cash Settlement Amount or the Put Seller will pay the Put Cash Settlement Amount as follows:</w:t>
      </w:r>
    </w:p>
    <w:p>
      <w:pPr>
        <w:pStyle w:val="Normal"/>
        <w:ind w:firstLine="720" w:start="3600" w:end="0"/>
        <w:rPr>
          <w:sz w:val="22"/>
        </w:rPr>
      </w:pPr>
      <w:r>
        <w:rPr>
          <w:sz w:val="22"/>
        </w:rPr>
      </w:r>
    </w:p>
    <w:p>
      <w:pPr>
        <w:pStyle w:val="Normal"/>
        <w:rPr>
          <w:sz w:val="22"/>
        </w:rPr>
      </w:pPr>
      <w:r>
        <w:rPr>
          <w:sz w:val="22"/>
        </w:rPr>
        <w:t>CALL CASH SETTLEMENT</w:t>
      </w:r>
    </w:p>
    <w:p>
      <w:pPr>
        <w:pStyle w:val="BodyTextIndent2"/>
        <w:rPr/>
      </w:pPr>
      <w:r>
        <w:rPr/>
        <w:t>AMOUNT:</w:t>
        <w:tab/>
        <w:t>Amount payable by Call Floating Price Payor on the applicable Payment Date for such Determination Period which is the product of (i) the Notional Quantity per Determination Period and (ii) the excess, if any of the Floating Price over the Call Strike Price in respect of such Determination Period</w:t>
      </w:r>
    </w:p>
    <w:p>
      <w:pPr>
        <w:pStyle w:val="Normal"/>
        <w:rPr>
          <w:sz w:val="22"/>
        </w:rPr>
      </w:pPr>
      <w:r>
        <w:rPr>
          <w:sz w:val="22"/>
        </w:rPr>
      </w:r>
    </w:p>
    <w:p>
      <w:pPr>
        <w:pStyle w:val="Normal"/>
        <w:rPr>
          <w:sz w:val="22"/>
        </w:rPr>
      </w:pPr>
      <w:r>
        <w:rPr>
          <w:sz w:val="22"/>
        </w:rPr>
        <w:t>PUT CASH SETTLEMENT</w:t>
      </w:r>
    </w:p>
    <w:p>
      <w:pPr>
        <w:pStyle w:val="BodyTextIndent2"/>
        <w:rPr/>
      </w:pPr>
      <w:r>
        <w:rPr/>
        <w:t xml:space="preserve">AMOUNT: </w:t>
        <w:tab/>
        <w:t>Amount payable by Put Floating Price Payor on the applicable Payment Date for such Determination Period which is the product of (i) the Notional Quantity per Determination Period and (ii) the excess, if any, of the Put Strike Price over the Floating Price in respect of such Determination Period</w:t>
      </w:r>
    </w:p>
    <w:p>
      <w:pPr>
        <w:pStyle w:val="Normal"/>
        <w:rPr>
          <w:sz w:val="22"/>
        </w:rPr>
      </w:pPr>
      <w:r>
        <w:rPr>
          <w:sz w:val="22"/>
        </w:rPr>
      </w:r>
    </w:p>
    <w:p>
      <w:pPr>
        <w:pStyle w:val="BodyTextIndent2"/>
        <w:rPr/>
      </w:pPr>
      <w:r>
        <w:rPr/>
        <w:t>PAYMENT DATE:</w:t>
        <w:tab/>
        <w:t>The fifth Business Day after the Floating Price is determinable</w:t>
      </w:r>
      <w:r>
        <w:br w:type="page"/>
      </w:r>
    </w:p>
    <w:p>
      <w:pPr>
        <w:pStyle w:val="BodyTextIndent2"/>
        <w:rPr/>
      </w:pPr>
      <w:r>
        <w:rPr/>
      </w:r>
    </w:p>
    <w:tbl>
      <w:tblPr>
        <w:tblW w:w="9468" w:type="dxa"/>
        <w:jc w:val="start"/>
        <w:tblInd w:w="0" w:type="dxa"/>
        <w:tblLayout w:type="fixed"/>
        <w:tblCellMar>
          <w:top w:w="0" w:type="dxa"/>
          <w:start w:w="108" w:type="dxa"/>
          <w:bottom w:w="0" w:type="dxa"/>
          <w:end w:w="108" w:type="dxa"/>
        </w:tblCellMar>
      </w:tblPr>
      <w:tblGrid>
        <w:gridCol w:w="4428"/>
        <w:gridCol w:w="5040"/>
      </w:tblGrid>
      <w:tr>
        <w:trPr/>
        <w:tc>
          <w:tcPr>
            <w:tcW w:w="9468" w:type="dxa"/>
            <w:gridSpan w:val="2"/>
            <w:tcBorders/>
          </w:tcPr>
          <w:p>
            <w:pPr>
              <w:pStyle w:val="Normal"/>
              <w:jc w:val="both"/>
              <w:rPr>
                <w:sz w:val="22"/>
              </w:rPr>
            </w:pPr>
            <w:r>
              <w:rPr>
                <w:b/>
                <w:sz w:val="22"/>
              </w:rPr>
              <w:t>OPTION TO EXTEND TRANSACTION:  ECT has the right (but not the obligation) to extend the term of this Transaction under the following conditions:</w:t>
            </w:r>
          </w:p>
        </w:tc>
      </w:tr>
      <w:tr>
        <w:trPr/>
        <w:tc>
          <w:tcPr>
            <w:tcW w:w="4428" w:type="dxa"/>
            <w:tcBorders/>
          </w:tcPr>
          <w:p>
            <w:pPr>
              <w:pStyle w:val="Normal"/>
              <w:tabs>
                <w:tab w:val="clear" w:pos="720"/>
                <w:tab w:val="left" w:pos="270" w:leader="none"/>
              </w:tabs>
              <w:snapToGrid w:val="false"/>
              <w:ind w:start="180" w:end="0"/>
              <w:rPr>
                <w:sz w:val="22"/>
              </w:rPr>
            </w:pPr>
            <w:r>
              <w:rPr>
                <w:sz w:val="22"/>
              </w:rPr>
            </w:r>
          </w:p>
        </w:tc>
        <w:tc>
          <w:tcPr>
            <w:tcW w:w="5040" w:type="dxa"/>
            <w:tcBorders/>
          </w:tcPr>
          <w:p>
            <w:pPr>
              <w:pStyle w:val="Normal"/>
              <w:snapToGrid w:val="false"/>
              <w:jc w:val="both"/>
              <w:rPr>
                <w:sz w:val="22"/>
              </w:rPr>
            </w:pPr>
            <w:r>
              <w:rPr>
                <w:sz w:val="22"/>
              </w:rPr>
            </w:r>
          </w:p>
        </w:tc>
      </w:tr>
      <w:tr>
        <w:trPr/>
        <w:tc>
          <w:tcPr>
            <w:tcW w:w="4428" w:type="dxa"/>
            <w:tcBorders/>
          </w:tcPr>
          <w:p>
            <w:pPr>
              <w:pStyle w:val="Normal"/>
              <w:tabs>
                <w:tab w:val="clear" w:pos="720"/>
                <w:tab w:val="left" w:pos="270" w:leader="none"/>
              </w:tabs>
              <w:ind w:start="180" w:end="0"/>
              <w:rPr>
                <w:sz w:val="22"/>
              </w:rPr>
            </w:pPr>
            <w:r>
              <w:rPr>
                <w:sz w:val="22"/>
              </w:rPr>
              <w:t>NOTICE OF EXERCISE:</w:t>
            </w:r>
          </w:p>
        </w:tc>
        <w:tc>
          <w:tcPr>
            <w:tcW w:w="5040" w:type="dxa"/>
            <w:tcBorders/>
          </w:tcPr>
          <w:p>
            <w:pPr>
              <w:pStyle w:val="Normal"/>
              <w:jc w:val="both"/>
              <w:rPr>
                <w:sz w:val="22"/>
              </w:rPr>
            </w:pPr>
            <w:r>
              <w:rPr>
                <w:sz w:val="22"/>
              </w:rPr>
              <w:t>An irrevocable notice given by ECT to Counterparty during the Exercise Period (which may be given orally, including by telephone, or in writing) of its election to extend the Transaction in accordance with the “Election to Extend Transaction” set forth below</w:t>
            </w:r>
          </w:p>
        </w:tc>
      </w:tr>
      <w:tr>
        <w:trPr/>
        <w:tc>
          <w:tcPr>
            <w:tcW w:w="4428" w:type="dxa"/>
            <w:tcBorders/>
          </w:tcPr>
          <w:p>
            <w:pPr>
              <w:pStyle w:val="Normal"/>
              <w:tabs>
                <w:tab w:val="left" w:pos="720" w:leader="none"/>
              </w:tabs>
              <w:snapToGrid w:val="false"/>
              <w:ind w:start="180" w:end="0"/>
              <w:jc w:val="both"/>
              <w:rPr>
                <w:sz w:val="22"/>
              </w:rPr>
            </w:pPr>
            <w:r>
              <w:rPr>
                <w:sz w:val="22"/>
              </w:rPr>
            </w:r>
          </w:p>
        </w:tc>
        <w:tc>
          <w:tcPr>
            <w:tcW w:w="5040" w:type="dxa"/>
            <w:tcBorders/>
          </w:tcPr>
          <w:p>
            <w:pPr>
              <w:pStyle w:val="Normal"/>
              <w:tabs>
                <w:tab w:val="left" w:pos="720" w:leader="none"/>
              </w:tabs>
              <w:snapToGrid w:val="false"/>
              <w:ind w:start="180" w:end="0"/>
              <w:jc w:val="both"/>
              <w:rPr>
                <w:sz w:val="22"/>
              </w:rPr>
            </w:pPr>
            <w:r>
              <w:rPr>
                <w:sz w:val="22"/>
              </w:rPr>
            </w:r>
          </w:p>
        </w:tc>
      </w:tr>
      <w:tr>
        <w:trPr/>
        <w:tc>
          <w:tcPr>
            <w:tcW w:w="4428" w:type="dxa"/>
            <w:tcBorders/>
          </w:tcPr>
          <w:p>
            <w:pPr>
              <w:pStyle w:val="Normal"/>
              <w:tabs>
                <w:tab w:val="left" w:pos="720" w:leader="none"/>
              </w:tabs>
              <w:ind w:start="180" w:end="0"/>
              <w:jc w:val="both"/>
              <w:rPr>
                <w:sz w:val="22"/>
              </w:rPr>
            </w:pPr>
            <w:r>
              <w:rPr>
                <w:sz w:val="22"/>
              </w:rPr>
              <w:t>EXERCISE PERIOD:</w:t>
            </w:r>
          </w:p>
        </w:tc>
        <w:tc>
          <w:tcPr>
            <w:tcW w:w="5040" w:type="dxa"/>
            <w:tcBorders/>
          </w:tcPr>
          <w:p>
            <w:pPr>
              <w:pStyle w:val="Normal"/>
              <w:tabs>
                <w:tab w:val="left" w:pos="720" w:leader="none"/>
              </w:tabs>
              <w:jc w:val="both"/>
              <w:rPr>
                <w:sz w:val="22"/>
              </w:rPr>
            </w:pPr>
            <w:r>
              <w:rPr>
                <w:sz w:val="22"/>
              </w:rPr>
              <w:t>October 22, 1999</w:t>
            </w:r>
          </w:p>
          <w:p>
            <w:pPr>
              <w:pStyle w:val="BodyTextIndent"/>
              <w:rPr/>
            </w:pPr>
            <w:r>
              <w:rPr/>
              <w:t>(prior to 4:00 p.m. (EST))</w:t>
            </w:r>
          </w:p>
          <w:p>
            <w:pPr>
              <w:pStyle w:val="Normal"/>
              <w:tabs>
                <w:tab w:val="left" w:pos="720" w:leader="none"/>
              </w:tabs>
              <w:ind w:start="180" w:end="0"/>
              <w:jc w:val="both"/>
              <w:rPr>
                <w:sz w:val="22"/>
              </w:rPr>
            </w:pPr>
            <w:r>
              <w:rPr>
                <w:sz w:val="22"/>
              </w:rPr>
            </w:r>
          </w:p>
        </w:tc>
      </w:tr>
      <w:tr>
        <w:trPr/>
        <w:tc>
          <w:tcPr>
            <w:tcW w:w="4428" w:type="dxa"/>
            <w:tcBorders/>
          </w:tcPr>
          <w:p>
            <w:pPr>
              <w:pStyle w:val="Normal"/>
              <w:tabs>
                <w:tab w:val="left" w:pos="720" w:leader="none"/>
              </w:tabs>
              <w:ind w:start="180" w:end="0"/>
              <w:jc w:val="both"/>
              <w:rPr>
                <w:sz w:val="22"/>
              </w:rPr>
            </w:pPr>
            <w:r>
              <w:rPr>
                <w:sz w:val="22"/>
              </w:rPr>
              <w:t>EXTENDED</w:t>
            </w:r>
          </w:p>
          <w:p>
            <w:pPr>
              <w:pStyle w:val="Normal"/>
              <w:tabs>
                <w:tab w:val="left" w:pos="720" w:leader="none"/>
              </w:tabs>
              <w:ind w:start="180" w:end="0"/>
              <w:jc w:val="both"/>
              <w:rPr>
                <w:sz w:val="22"/>
              </w:rPr>
            </w:pPr>
            <w:r>
              <w:rPr>
                <w:sz w:val="22"/>
              </w:rPr>
              <w:t>DETERMINATION PERIOD(S):</w:t>
            </w:r>
          </w:p>
        </w:tc>
        <w:tc>
          <w:tcPr>
            <w:tcW w:w="5040" w:type="dxa"/>
            <w:tcBorders/>
          </w:tcPr>
          <w:p>
            <w:pPr>
              <w:pStyle w:val="Normal"/>
              <w:tabs>
                <w:tab w:val="left" w:pos="720" w:leader="none"/>
              </w:tabs>
              <w:snapToGrid w:val="false"/>
              <w:ind w:start="-18" w:end="0"/>
              <w:jc w:val="both"/>
              <w:rPr>
                <w:sz w:val="22"/>
              </w:rPr>
            </w:pPr>
            <w:r>
              <w:rPr>
                <w:sz w:val="22"/>
              </w:rPr>
            </w:r>
          </w:p>
          <w:p>
            <w:pPr>
              <w:pStyle w:val="Normal"/>
              <w:tabs>
                <w:tab w:val="left" w:pos="720" w:leader="none"/>
              </w:tabs>
              <w:ind w:start="-18" w:end="0"/>
              <w:jc w:val="both"/>
              <w:rPr>
                <w:sz w:val="22"/>
              </w:rPr>
            </w:pPr>
            <w:r>
              <w:rPr>
                <w:sz w:val="22"/>
              </w:rPr>
              <w:t>Monthly periods, with the first Extended Determination Period commencing on November 1, 1999 and the final Extended Determination Period ending on March 31, 2000.</w:t>
            </w:r>
          </w:p>
        </w:tc>
      </w:tr>
      <w:tr>
        <w:trPr/>
        <w:tc>
          <w:tcPr>
            <w:tcW w:w="4428" w:type="dxa"/>
            <w:tcBorders/>
          </w:tcPr>
          <w:p>
            <w:pPr>
              <w:pStyle w:val="Normal"/>
              <w:tabs>
                <w:tab w:val="left" w:pos="720" w:leader="none"/>
              </w:tabs>
              <w:snapToGrid w:val="false"/>
              <w:ind w:start="180" w:end="0"/>
              <w:jc w:val="both"/>
              <w:rPr>
                <w:sz w:val="22"/>
              </w:rPr>
            </w:pPr>
            <w:r>
              <w:rPr>
                <w:sz w:val="22"/>
              </w:rPr>
            </w:r>
          </w:p>
        </w:tc>
        <w:tc>
          <w:tcPr>
            <w:tcW w:w="5040" w:type="dxa"/>
            <w:tcBorders/>
          </w:tcPr>
          <w:p>
            <w:pPr>
              <w:pStyle w:val="Normal"/>
              <w:tabs>
                <w:tab w:val="left" w:pos="720" w:leader="none"/>
              </w:tabs>
              <w:snapToGrid w:val="false"/>
              <w:ind w:start="-18" w:end="0"/>
              <w:jc w:val="both"/>
              <w:rPr>
                <w:sz w:val="22"/>
              </w:rPr>
            </w:pPr>
            <w:r>
              <w:rPr>
                <w:sz w:val="22"/>
              </w:rPr>
            </w:r>
          </w:p>
        </w:tc>
      </w:tr>
      <w:tr>
        <w:trPr/>
        <w:tc>
          <w:tcPr>
            <w:tcW w:w="4428" w:type="dxa"/>
            <w:tcBorders/>
          </w:tcPr>
          <w:p>
            <w:pPr>
              <w:pStyle w:val="Normal"/>
              <w:tabs>
                <w:tab w:val="left" w:pos="720" w:leader="none"/>
              </w:tabs>
              <w:ind w:start="180" w:end="0"/>
              <w:rPr>
                <w:sz w:val="22"/>
              </w:rPr>
            </w:pPr>
            <w:r>
              <w:rPr>
                <w:sz w:val="22"/>
              </w:rPr>
              <w:t xml:space="preserve">EXTENDED </w:t>
            </w:r>
          </w:p>
          <w:p>
            <w:pPr>
              <w:pStyle w:val="Normal"/>
              <w:tabs>
                <w:tab w:val="left" w:pos="720" w:leader="none"/>
              </w:tabs>
              <w:ind w:start="180" w:end="0"/>
              <w:rPr>
                <w:sz w:val="22"/>
              </w:rPr>
            </w:pPr>
            <w:r>
              <w:rPr>
                <w:sz w:val="22"/>
              </w:rPr>
              <w:t>TERMINATION DATE:</w:t>
            </w:r>
          </w:p>
        </w:tc>
        <w:tc>
          <w:tcPr>
            <w:tcW w:w="5040" w:type="dxa"/>
            <w:tcBorders/>
          </w:tcPr>
          <w:p>
            <w:pPr>
              <w:pStyle w:val="Normal"/>
              <w:tabs>
                <w:tab w:val="left" w:pos="720" w:leader="none"/>
              </w:tabs>
              <w:snapToGrid w:val="false"/>
              <w:ind w:start="-18" w:end="0"/>
              <w:jc w:val="both"/>
              <w:rPr>
                <w:sz w:val="22"/>
              </w:rPr>
            </w:pPr>
            <w:r>
              <w:rPr>
                <w:sz w:val="22"/>
              </w:rPr>
            </w:r>
          </w:p>
          <w:p>
            <w:pPr>
              <w:pStyle w:val="Normal"/>
              <w:tabs>
                <w:tab w:val="left" w:pos="720" w:leader="none"/>
              </w:tabs>
              <w:ind w:start="-18" w:end="0"/>
              <w:jc w:val="both"/>
              <w:rPr>
                <w:sz w:val="22"/>
              </w:rPr>
            </w:pPr>
            <w:r>
              <w:rPr>
                <w:sz w:val="22"/>
              </w:rPr>
              <w:t>March 31, 2000</w:t>
            </w:r>
          </w:p>
        </w:tc>
      </w:tr>
      <w:tr>
        <w:trPr/>
        <w:tc>
          <w:tcPr>
            <w:tcW w:w="4428" w:type="dxa"/>
            <w:tcBorders/>
          </w:tcPr>
          <w:p>
            <w:pPr>
              <w:pStyle w:val="Normal"/>
              <w:tabs>
                <w:tab w:val="left" w:pos="720" w:leader="none"/>
              </w:tabs>
              <w:snapToGrid w:val="false"/>
              <w:ind w:start="180" w:end="0"/>
              <w:jc w:val="both"/>
              <w:rPr>
                <w:sz w:val="22"/>
              </w:rPr>
            </w:pPr>
            <w:r>
              <w:rPr>
                <w:sz w:val="22"/>
              </w:rPr>
            </w:r>
          </w:p>
        </w:tc>
        <w:tc>
          <w:tcPr>
            <w:tcW w:w="5040" w:type="dxa"/>
            <w:tcBorders/>
          </w:tcPr>
          <w:p>
            <w:pPr>
              <w:pStyle w:val="Normal"/>
              <w:tabs>
                <w:tab w:val="left" w:pos="720" w:leader="none"/>
              </w:tabs>
              <w:snapToGrid w:val="false"/>
              <w:ind w:start="-18" w:end="0"/>
              <w:jc w:val="both"/>
              <w:rPr>
                <w:sz w:val="22"/>
              </w:rPr>
            </w:pPr>
            <w:r>
              <w:rPr>
                <w:sz w:val="22"/>
              </w:rPr>
            </w:r>
          </w:p>
        </w:tc>
      </w:tr>
    </w:tbl>
    <w:p>
      <w:pPr>
        <w:pStyle w:val="Normal"/>
        <w:ind w:firstLine="180" w:end="0"/>
        <w:rPr>
          <w:sz w:val="22"/>
        </w:rPr>
      </w:pPr>
      <w:r>
        <w:rPr>
          <w:sz w:val="22"/>
        </w:rPr>
        <w:t xml:space="preserve">EXTENDED CALL </w:t>
      </w:r>
    </w:p>
    <w:p>
      <w:pPr>
        <w:pStyle w:val="Normal"/>
        <w:ind w:firstLine="180" w:end="0"/>
        <w:rPr>
          <w:sz w:val="22"/>
        </w:rPr>
      </w:pPr>
      <w:r>
        <w:rPr>
          <w:sz w:val="22"/>
        </w:rPr>
        <w:t>FLOATING PRICE PAYOR:</w:t>
        <w:tab/>
        <w:tab/>
        <w:tab/>
        <w:t>Counterparty</w:t>
      </w:r>
    </w:p>
    <w:p>
      <w:pPr>
        <w:pStyle w:val="Normal"/>
        <w:rPr>
          <w:sz w:val="22"/>
        </w:rPr>
      </w:pPr>
      <w:r>
        <w:rPr>
          <w:sz w:val="22"/>
        </w:rPr>
      </w:r>
    </w:p>
    <w:p>
      <w:pPr>
        <w:pStyle w:val="Normal"/>
        <w:ind w:firstLine="180" w:end="0"/>
        <w:rPr>
          <w:sz w:val="22"/>
        </w:rPr>
      </w:pPr>
      <w:r>
        <w:rPr>
          <w:sz w:val="22"/>
        </w:rPr>
        <w:t xml:space="preserve">EXTENDED CALL </w:t>
      </w:r>
    </w:p>
    <w:p>
      <w:pPr>
        <w:pStyle w:val="Normal"/>
        <w:ind w:firstLine="180" w:end="0"/>
        <w:rPr>
          <w:sz w:val="22"/>
        </w:rPr>
      </w:pPr>
      <w:r>
        <w:rPr>
          <w:sz w:val="22"/>
        </w:rPr>
        <w:t>STRIKE PRICE:</w:t>
        <w:tab/>
        <w:tab/>
        <w:tab/>
        <w:tab/>
        <w:t>$2.3200 per MMBtu</w:t>
      </w:r>
    </w:p>
    <w:p>
      <w:pPr>
        <w:pStyle w:val="Normal"/>
        <w:ind w:firstLine="180" w:end="0"/>
        <w:rPr>
          <w:sz w:val="22"/>
        </w:rPr>
      </w:pPr>
      <w:r>
        <w:rPr>
          <w:sz w:val="22"/>
        </w:rPr>
      </w:r>
    </w:p>
    <w:p>
      <w:pPr>
        <w:pStyle w:val="Normal"/>
        <w:ind w:firstLine="180" w:end="0"/>
        <w:rPr>
          <w:sz w:val="22"/>
        </w:rPr>
      </w:pPr>
      <w:r>
        <w:rPr>
          <w:sz w:val="22"/>
        </w:rPr>
        <w:t xml:space="preserve">EXTENDED PUT </w:t>
      </w:r>
    </w:p>
    <w:p>
      <w:pPr>
        <w:pStyle w:val="Normal"/>
        <w:ind w:firstLine="180" w:end="0"/>
        <w:rPr>
          <w:sz w:val="22"/>
        </w:rPr>
      </w:pPr>
      <w:r>
        <w:rPr>
          <w:sz w:val="22"/>
        </w:rPr>
        <w:t>FLOATING PRICE PAYOR:</w:t>
        <w:tab/>
        <w:tab/>
        <w:tab/>
        <w:t>ECT</w:t>
      </w:r>
    </w:p>
    <w:p>
      <w:pPr>
        <w:pStyle w:val="Normal"/>
        <w:ind w:firstLine="180" w:end="0"/>
        <w:rPr>
          <w:sz w:val="22"/>
        </w:rPr>
      </w:pPr>
      <w:r>
        <w:rPr>
          <w:sz w:val="22"/>
        </w:rPr>
      </w:r>
    </w:p>
    <w:p>
      <w:pPr>
        <w:pStyle w:val="Normal"/>
        <w:ind w:firstLine="180" w:end="0"/>
        <w:rPr>
          <w:sz w:val="22"/>
        </w:rPr>
      </w:pPr>
      <w:r>
        <w:rPr>
          <w:sz w:val="22"/>
        </w:rPr>
        <w:t xml:space="preserve">EXTENDED PUT </w:t>
      </w:r>
    </w:p>
    <w:p>
      <w:pPr>
        <w:pStyle w:val="Normal"/>
        <w:ind w:firstLine="180" w:end="0"/>
        <w:rPr>
          <w:sz w:val="22"/>
        </w:rPr>
      </w:pPr>
      <w:r>
        <w:rPr>
          <w:sz w:val="22"/>
        </w:rPr>
        <w:t>STRIKE PRICE:</w:t>
        <w:tab/>
        <w:tab/>
        <w:tab/>
        <w:tab/>
        <w:t>$2.0000 per MMBtu</w:t>
      </w:r>
    </w:p>
    <w:tbl>
      <w:tblPr>
        <w:tblW w:w="9468" w:type="dxa"/>
        <w:jc w:val="start"/>
        <w:tblInd w:w="0" w:type="dxa"/>
        <w:tblLayout w:type="fixed"/>
        <w:tblCellMar>
          <w:top w:w="0" w:type="dxa"/>
          <w:start w:w="108" w:type="dxa"/>
          <w:bottom w:w="0" w:type="dxa"/>
          <w:end w:w="108" w:type="dxa"/>
        </w:tblCellMar>
      </w:tblPr>
      <w:tblGrid>
        <w:gridCol w:w="4428"/>
        <w:gridCol w:w="5040"/>
      </w:tblGrid>
      <w:tr>
        <w:trPr/>
        <w:tc>
          <w:tcPr>
            <w:tcW w:w="4428" w:type="dxa"/>
            <w:tcBorders/>
          </w:tcPr>
          <w:p>
            <w:pPr>
              <w:pStyle w:val="Normal"/>
              <w:tabs>
                <w:tab w:val="left" w:pos="720" w:leader="none"/>
              </w:tabs>
              <w:snapToGrid w:val="false"/>
              <w:ind w:start="180" w:end="0"/>
              <w:jc w:val="both"/>
              <w:rPr>
                <w:sz w:val="22"/>
              </w:rPr>
            </w:pPr>
            <w:r>
              <w:rPr>
                <w:sz w:val="22"/>
              </w:rPr>
            </w:r>
          </w:p>
        </w:tc>
        <w:tc>
          <w:tcPr>
            <w:tcW w:w="5040" w:type="dxa"/>
            <w:tcBorders/>
          </w:tcPr>
          <w:p>
            <w:pPr>
              <w:pStyle w:val="Normal"/>
              <w:tabs>
                <w:tab w:val="left" w:pos="720" w:leader="none"/>
              </w:tabs>
              <w:snapToGrid w:val="false"/>
              <w:ind w:start="-18" w:end="0"/>
              <w:jc w:val="both"/>
              <w:rPr>
                <w:sz w:val="22"/>
              </w:rPr>
            </w:pPr>
            <w:r>
              <w:rPr>
                <w:sz w:val="22"/>
              </w:rPr>
            </w:r>
          </w:p>
        </w:tc>
      </w:tr>
      <w:tr>
        <w:trPr/>
        <w:tc>
          <w:tcPr>
            <w:tcW w:w="4428" w:type="dxa"/>
            <w:tcBorders/>
          </w:tcPr>
          <w:p>
            <w:pPr>
              <w:pStyle w:val="Normal"/>
              <w:tabs>
                <w:tab w:val="left" w:pos="720" w:leader="none"/>
              </w:tabs>
              <w:ind w:start="180" w:end="0"/>
              <w:rPr>
                <w:sz w:val="22"/>
              </w:rPr>
            </w:pPr>
            <w:r>
              <w:rPr>
                <w:sz w:val="22"/>
              </w:rPr>
              <w:t xml:space="preserve">ELECTION TO EXTEND </w:t>
            </w:r>
          </w:p>
          <w:p>
            <w:pPr>
              <w:pStyle w:val="Normal"/>
              <w:tabs>
                <w:tab w:val="left" w:pos="720" w:leader="none"/>
              </w:tabs>
              <w:ind w:start="180" w:end="0"/>
              <w:rPr>
                <w:sz w:val="22"/>
              </w:rPr>
            </w:pPr>
            <w:r>
              <w:rPr>
                <w:sz w:val="22"/>
              </w:rPr>
              <w:t>TRANSACTION:</w:t>
            </w:r>
          </w:p>
        </w:tc>
        <w:tc>
          <w:tcPr>
            <w:tcW w:w="5040" w:type="dxa"/>
            <w:tcBorders/>
          </w:tcPr>
          <w:p>
            <w:pPr>
              <w:pStyle w:val="Normal"/>
              <w:tabs>
                <w:tab w:val="left" w:pos="720" w:leader="none"/>
              </w:tabs>
              <w:snapToGrid w:val="false"/>
              <w:ind w:start="-18" w:end="0"/>
              <w:jc w:val="both"/>
              <w:rPr>
                <w:sz w:val="22"/>
              </w:rPr>
            </w:pPr>
            <w:r>
              <w:rPr>
                <w:sz w:val="22"/>
              </w:rPr>
            </w:r>
          </w:p>
          <w:p>
            <w:pPr>
              <w:pStyle w:val="Normal"/>
              <w:tabs>
                <w:tab w:val="left" w:pos="720" w:leader="none"/>
              </w:tabs>
              <w:ind w:start="-18" w:end="0"/>
              <w:jc w:val="both"/>
              <w:rPr>
                <w:sz w:val="22"/>
              </w:rPr>
            </w:pPr>
            <w:r>
              <w:rPr>
                <w:sz w:val="22"/>
              </w:rPr>
              <w:t xml:space="preserve">If ECT elects to extend the Transaction, ECT shall give the Notice of Exercise to Counterparty during the Exercise Period.  If Counterparty demands from ECT (which demand may be given orally, including by telephone, or in writing) a written confirmation of ECT’s election to extend the Transaction, ECT will execute a written confirmation (which may be made by facsimile transmission) confirming the substance of the Notice of Exercise and give the same to Counterparty.  ECT will cause such written confirmation to be received by Counterparty within two Business Days following the date of Counterparty’s demand, but the failure to give such written confirmation shall not affect the effectiveness of ECT’s election to extend the Transaction.  If ECT fails to elect to extend the Transaction in the manner set forth in above, the Transaction shall expire on the Termination Date. </w:t>
            </w:r>
          </w:p>
        </w:tc>
      </w:tr>
    </w:tbl>
    <w:p>
      <w:pPr>
        <w:pStyle w:val="BodyTextIndent2"/>
        <w:rPr/>
      </w:pPr>
      <w:r>
        <w:rPr/>
      </w:r>
    </w:p>
    <w:p>
      <w:pPr>
        <w:pStyle w:val="Normal"/>
        <w:tabs>
          <w:tab w:val="clear" w:pos="720"/>
          <w:tab w:val="left" w:pos="4230" w:leader="none"/>
        </w:tabs>
        <w:ind w:start="720" w:end="-1260"/>
        <w:rPr>
          <w:sz w:val="22"/>
        </w:rPr>
      </w:pPr>
      <w:r>
        <w:rPr>
          <w:sz w:val="22"/>
        </w:rPr>
      </w:r>
    </w:p>
    <w:p>
      <w:pPr>
        <w:pStyle w:val="Normal"/>
        <w:tabs>
          <w:tab w:val="clear" w:pos="720"/>
          <w:tab w:val="left" w:pos="4230" w:leader="none"/>
        </w:tabs>
        <w:rPr>
          <w:sz w:val="22"/>
        </w:rPr>
      </w:pPr>
      <w:r>
        <w:rPr>
          <w:sz w:val="22"/>
        </w:rPr>
        <w:t>CONTRACTUAL CURRENCY:</w:t>
        <w:tab/>
        <w:t xml:space="preserve">  </w:t>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rPr>
          <w:sz w:val="22"/>
        </w:rPr>
      </w:pPr>
      <w:r>
        <w:rPr>
          <w:sz w:val="22"/>
        </w:rPr>
      </w:r>
    </w:p>
    <w:p>
      <w:pPr>
        <w:pStyle w:val="Normal"/>
        <w:tabs>
          <w:tab w:val="clear" w:pos="720"/>
          <w:tab w:val="left" w:pos="4230" w:leader="none"/>
        </w:tabs>
        <w:rPr>
          <w:sz w:val="22"/>
        </w:rPr>
      </w:pPr>
      <w:r>
        <w:rPr>
          <w:sz w:val="22"/>
        </w:rPr>
        <w:t>GOVERNING LAW:</w:t>
        <w:tab/>
        <w:t xml:space="preserve">  </w:t>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ind w:end="-720"/>
        <w:rPr>
          <w:sz w:val="22"/>
        </w:rPr>
      </w:pPr>
      <w:r>
        <w:rPr>
          <w:sz w:val="22"/>
        </w:rPr>
        <w:tab/>
        <w:tab/>
        <w:tab/>
      </w:r>
    </w:p>
    <w:tbl>
      <w:tblPr>
        <w:tblW w:w="9648" w:type="dxa"/>
        <w:jc w:val="start"/>
        <w:tblInd w:w="0" w:type="dxa"/>
        <w:tblLayout w:type="fixed"/>
        <w:tblCellMar>
          <w:top w:w="0" w:type="dxa"/>
          <w:start w:w="108" w:type="dxa"/>
          <w:bottom w:w="0" w:type="dxa"/>
          <w:end w:w="108" w:type="dxa"/>
        </w:tblCellMar>
      </w:tblPr>
      <w:tblGrid>
        <w:gridCol w:w="4428"/>
        <w:gridCol w:w="5220"/>
      </w:tblGrid>
      <w:tr>
        <w:trPr/>
        <w:tc>
          <w:tcPr>
            <w:tcW w:w="4428" w:type="dxa"/>
            <w:tcBorders/>
          </w:tcPr>
          <w:p>
            <w:pPr>
              <w:pStyle w:val="Normal"/>
              <w:rPr>
                <w:sz w:val="22"/>
              </w:rPr>
            </w:pPr>
            <w:r>
              <w:rPr>
                <w:sz w:val="22"/>
              </w:rPr>
              <w:t xml:space="preserve">GENERAL TERMS AND </w:t>
            </w:r>
          </w:p>
          <w:p>
            <w:pPr>
              <w:pStyle w:val="Normal"/>
              <w:rPr>
                <w:sz w:val="22"/>
              </w:rPr>
            </w:pPr>
            <w:r>
              <w:rPr>
                <w:sz w:val="22"/>
              </w:rPr>
              <w:t>CONDITIONS OF CONFIRMATIONS:</w:t>
            </w:r>
          </w:p>
        </w:tc>
        <w:tc>
          <w:tcPr>
            <w:tcW w:w="5220" w:type="dxa"/>
            <w:tcBorders/>
          </w:tcPr>
          <w:p>
            <w:pPr>
              <w:pStyle w:val="Normal"/>
              <w:snapToGrid w:val="false"/>
              <w:jc w:val="both"/>
              <w:rPr>
                <w:sz w:val="22"/>
              </w:rPr>
            </w:pPr>
            <w:r>
              <w:rPr>
                <w:sz w:val="22"/>
              </w:rPr>
            </w:r>
          </w:p>
          <w:p>
            <w:pPr>
              <w:pStyle w:val="Normal"/>
              <w:jc w:val="both"/>
              <w:rPr>
                <w:sz w:val="22"/>
              </w:rPr>
            </w:pPr>
            <w:r>
              <w:rPr>
                <w:sz w:val="22"/>
              </w:rPr>
              <w:t xml:space="preserve">The general terms and conditions contained in Annex A attached hereto and made part hereof apply and are incorporated herein </w:t>
            </w:r>
          </w:p>
        </w:tc>
      </w:tr>
    </w:tbl>
    <w:p>
      <w:pPr>
        <w:pStyle w:val="Normal"/>
        <w:ind w:end="-990"/>
        <w:rPr>
          <w:sz w:val="22"/>
        </w:rPr>
      </w:pPr>
      <w:r>
        <w:rPr>
          <w:sz w:val="22"/>
        </w:rPr>
        <w:tab/>
      </w:r>
    </w:p>
    <w:tbl>
      <w:tblPr>
        <w:tblW w:w="10098" w:type="dxa"/>
        <w:jc w:val="start"/>
        <w:tblInd w:w="0" w:type="dxa"/>
        <w:tblLayout w:type="fixed"/>
        <w:tblCellMar>
          <w:top w:w="0" w:type="dxa"/>
          <w:start w:w="108" w:type="dxa"/>
          <w:bottom w:w="0" w:type="dxa"/>
          <w:end w:w="108" w:type="dxa"/>
        </w:tblCellMar>
      </w:tblPr>
      <w:tblGrid>
        <w:gridCol w:w="4428"/>
        <w:gridCol w:w="5670"/>
      </w:tblGrid>
      <w:tr>
        <w:trPr/>
        <w:tc>
          <w:tcPr>
            <w:tcW w:w="4428" w:type="dxa"/>
            <w:tcBorders/>
          </w:tcPr>
          <w:p>
            <w:pPr>
              <w:pStyle w:val="Normal"/>
              <w:rPr>
                <w:sz w:val="22"/>
              </w:rPr>
            </w:pPr>
            <w:r>
              <w:rPr>
                <w:sz w:val="22"/>
              </w:rPr>
              <w:t xml:space="preserve">CREDIT OR OTHER SPECIAL PROVISIONS: </w:t>
            </w:r>
          </w:p>
        </w:tc>
        <w:tc>
          <w:tcPr>
            <w:tcW w:w="5670" w:type="dxa"/>
            <w:tcBorders/>
          </w:tcPr>
          <w:p>
            <w:pPr>
              <w:pStyle w:val="Normal"/>
              <w:snapToGrid w:val="false"/>
              <w:rPr>
                <w:sz w:val="22"/>
              </w:rPr>
            </w:pPr>
            <w:r>
              <w:rPr>
                <w:sz w:val="22"/>
              </w:rPr>
            </w:r>
          </w:p>
          <w:p>
            <w:pPr>
              <w:pStyle w:val="Normal"/>
              <w:rPr>
                <w:sz w:val="22"/>
              </w:rPr>
            </w:pPr>
            <w:r>
              <w:rPr>
                <w:sz w:val="22"/>
              </w:rPr>
              <w:t>Inapplicable</w:t>
            </w:r>
          </w:p>
        </w:tc>
      </w:tr>
    </w:tbl>
    <w:p>
      <w:pPr>
        <w:pStyle w:val="Normal"/>
        <w:ind w:end="-990"/>
        <w:rPr>
          <w:sz w:val="22"/>
        </w:rPr>
      </w:pPr>
      <w:r>
        <w:rPr>
          <w:sz w:val="22"/>
        </w:rPr>
      </w:r>
    </w:p>
    <w:p>
      <w:pPr>
        <w:pStyle w:val="Normal"/>
        <w:widowControl/>
        <w:rPr>
          <w:sz w:val="22"/>
        </w:rPr>
      </w:pPr>
      <w:r>
        <w:rPr>
          <w:sz w:val="22"/>
        </w:rPr>
      </w:r>
    </w:p>
    <w:p>
      <w:pPr>
        <w:pStyle w:val="Normal"/>
        <w:widowControl/>
        <w:tabs>
          <w:tab w:val="clear" w:pos="720"/>
          <w:tab w:val="left" w:pos="4230" w:leader="none"/>
        </w:tabs>
        <w:ind w:start="720" w:end="-1260"/>
        <w:rPr>
          <w:sz w:val="22"/>
        </w:rPr>
      </w:pPr>
      <w:r>
        <w:rPr>
          <w:sz w:val="22"/>
        </w:rPr>
      </w:r>
    </w:p>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Magnum Hunter Resources Inc.</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By:  ______________________________</w:t>
        <w:tab/>
        <w:t xml:space="preserve">By:  </w:t>
      </w:r>
      <w:r>
        <w:rPr>
          <w:sz w:val="22"/>
          <w:u w:val="single"/>
        </w:rPr>
        <w:tab/>
        <w:tab/>
        <w:tab/>
        <w:tab/>
        <w:tab/>
        <w:tab/>
      </w:r>
    </w:p>
    <w:p>
      <w:pPr>
        <w:pStyle w:val="Normal"/>
        <w:widowControl/>
        <w:tabs>
          <w:tab w:val="clear" w:pos="720"/>
          <w:tab w:val="left" w:pos="4320" w:leader="none"/>
        </w:tabs>
        <w:rPr>
          <w:sz w:val="22"/>
        </w:rPr>
      </w:pPr>
      <w:r>
        <w:rPr>
          <w:sz w:val="22"/>
        </w:rPr>
        <w:t>Name:  ____________________________</w:t>
        <w:tab/>
        <w:t>Name: _________________________________</w:t>
      </w:r>
    </w:p>
    <w:p>
      <w:pPr>
        <w:pStyle w:val="Normal"/>
        <w:widowControl/>
        <w:tabs>
          <w:tab w:val="clear" w:pos="720"/>
          <w:tab w:val="left" w:pos="4320" w:leader="none"/>
        </w:tabs>
        <w:rPr>
          <w:b/>
          <w:sz w:val="22"/>
        </w:rPr>
      </w:pPr>
      <w:r>
        <w:rPr>
          <w:sz w:val="22"/>
        </w:rPr>
        <w:t>Title:  _____________________________</w:t>
        <w:tab/>
        <w:t>Title: __________________________________</w:t>
      </w:r>
    </w:p>
    <w:p>
      <w:pPr>
        <w:pStyle w:val="Normal"/>
        <w:widowControl/>
        <w:ind w:end="-720"/>
        <w:rPr>
          <w:b/>
          <w:sz w:val="22"/>
        </w:rPr>
      </w:pPr>
      <w:r>
        <w:rPr>
          <w:b/>
          <w:sz w:val="22"/>
        </w:rPr>
      </w:r>
      <w:r>
        <w:br w:type="page"/>
      </w:r>
    </w:p>
    <w:p>
      <w:pPr>
        <w:pStyle w:val="Normal"/>
        <w:widowControl/>
        <w:ind w:end="-720"/>
        <w:rPr>
          <w:b/>
          <w:sz w:val="22"/>
        </w:rPr>
      </w:pPr>
      <w:r>
        <w:rPr>
          <w:b/>
          <w:sz w:val="22"/>
        </w:rPr>
      </w:r>
    </w:p>
    <w:p>
      <w:pPr>
        <w:pStyle w:val="Normal"/>
        <w:widowControl/>
        <w:ind w:end="-720"/>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sz w:val="22"/>
              </w:rPr>
              <w:t>:</w:t>
            </w:r>
          </w:p>
        </w:tc>
        <w:tc>
          <w:tcPr>
            <w:tcW w:w="4968" w:type="dxa"/>
            <w:tcBorders/>
          </w:tcPr>
          <w:p>
            <w:pPr>
              <w:pStyle w:val="Normal"/>
              <w:widowContro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68" w:type="dxa"/>
            <w:tcBorders/>
          </w:tcPr>
          <w:p>
            <w:pPr>
              <w:pStyle w:val="Normal"/>
              <w:widowContro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ET0754.1</w:t>
    </w:r>
    <w:r>
      <w:rPr>
        <w:sz w:val="20"/>
      </w:rPr>
      <w:fldChar w:fldCharType="end"/>
    </w:r>
    <w:r>
      <w:rPr>
        <w:sz w:val="20"/>
      </w:rPr>
      <w:t>,.2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729" w:start="729" w:end="0"/>
    </w:pPr>
    <w:rPr/>
  </w:style>
  <w:style w:type="paragraph" w:styleId="BodyTextIndent2">
    <w:name w:val="Body Text Indent 2"/>
    <w:basedOn w:val="Normal"/>
    <w:qFormat/>
    <w:pPr>
      <w:ind w:hanging="4320" w:start="4320" w:end="0"/>
      <w:jc w:val="both"/>
    </w:pPr>
    <w:rPr>
      <w:sz w:val="22"/>
    </w:rPr>
  </w:style>
  <w:style w:type="paragraph" w:styleId="BlockText">
    <w:name w:val="Block Text"/>
    <w:basedOn w:val="Normal"/>
    <w:qFormat/>
    <w:pPr>
      <w:ind w:hanging="4320" w:start="4320" w:end="-18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1999-06-18T11:10:00Z</dcterms:created>
  <dc:creator>Enron User</dc:creator>
  <dc:description/>
  <dc:language>en-CA</dc:language>
  <cp:lastModifiedBy>dneuner</cp:lastModifiedBy>
  <cp:lastPrinted>1999-06-18T08:42:00Z</cp:lastPrinted>
  <dcterms:modified xsi:type="dcterms:W3CDTF">1999-06-18T11:13:00Z</dcterms:modified>
  <cp:revision>3</cp:revision>
  <dc:subject>Magnum Hunter Resources, Inc.</dc:subject>
  <dc:title>ET0754.1</dc:title>
</cp:coreProperties>
</file>