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4"/>
          <w:u w:val="single"/>
        </w:rPr>
      </w:pPr>
      <w:r>
        <w:rPr>
          <w:sz w:val="24"/>
          <w:u w:val="single"/>
        </w:rPr>
      </w:r>
    </w:p>
    <w:p>
      <w:pPr>
        <w:pStyle w:val="Heading2"/>
        <w:ind w:hanging="0" w:start="0"/>
        <w:rPr/>
      </w:pPr>
      <w:r>
        <w:rPr/>
        <w:t>To:</w:t>
        <w:tab/>
        <w:tab/>
        <w:t>Mark Taylor</w:t>
      </w:r>
    </w:p>
    <w:p>
      <w:pPr>
        <w:pStyle w:val="Normal"/>
        <w:rPr>
          <w:sz w:val="24"/>
        </w:rPr>
      </w:pPr>
      <w:r>
        <w:rPr>
          <w:sz w:val="24"/>
        </w:rPr>
      </w:r>
    </w:p>
    <w:p>
      <w:pPr>
        <w:pStyle w:val="Normal"/>
        <w:rPr>
          <w:sz w:val="24"/>
        </w:rPr>
      </w:pPr>
      <w:r>
        <w:rPr>
          <w:sz w:val="24"/>
        </w:rPr>
        <w:t>From:</w:t>
        <w:tab/>
        <w:tab/>
        <w:t>Bob Lawrence</w:t>
      </w:r>
    </w:p>
    <w:p>
      <w:pPr>
        <w:pStyle w:val="Normal"/>
        <w:rPr>
          <w:sz w:val="24"/>
        </w:rPr>
      </w:pPr>
      <w:r>
        <w:rPr>
          <w:sz w:val="24"/>
        </w:rPr>
      </w:r>
    </w:p>
    <w:p>
      <w:pPr>
        <w:pStyle w:val="Normal"/>
        <w:rPr>
          <w:sz w:val="24"/>
        </w:rPr>
      </w:pPr>
      <w:r>
        <w:rPr>
          <w:sz w:val="24"/>
        </w:rPr>
        <w:t>Date:</w:t>
        <w:tab/>
        <w:tab/>
        <w:t>January 11, 2001</w:t>
      </w:r>
    </w:p>
    <w:p>
      <w:pPr>
        <w:pStyle w:val="Normal"/>
        <w:rPr>
          <w:sz w:val="24"/>
        </w:rPr>
      </w:pPr>
      <w:r>
        <w:rPr>
          <w:sz w:val="24"/>
        </w:rPr>
      </w:r>
    </w:p>
    <w:p>
      <w:pPr>
        <w:pStyle w:val="Normal"/>
        <w:rPr/>
      </w:pPr>
      <w:r>
        <w:rPr>
          <w:sz w:val="24"/>
        </w:rPr>
        <w:t>Re:</w:t>
        <w:tab/>
        <w:tab/>
      </w:r>
      <w:r>
        <w:rPr>
          <w:sz w:val="24"/>
          <w:u w:val="single"/>
        </w:rPr>
        <w:t>Revised Broker Trading Agreements</w:t>
      </w:r>
    </w:p>
    <w:p>
      <w:pPr>
        <w:pStyle w:val="Normal"/>
        <w:rPr>
          <w:sz w:val="24"/>
          <w:u w:val="single"/>
        </w:rPr>
      </w:pPr>
      <w:r>
        <w:rPr>
          <w:sz w:val="24"/>
          <w:u w:val="single"/>
        </w:rPr>
      </w:r>
    </w:p>
    <w:p>
      <w:pPr>
        <w:pStyle w:val="BodyText"/>
        <w:rPr/>
      </w:pPr>
      <w:r>
        <w:rPr/>
        <w:tab/>
        <w:tab/>
        <w:t>Accompanying this memorandum are new versions of the Broker Electronic Trading Agreement and the Fee Agreement, modified to reflect my additional review.  Some of the marked changes are your original changes, and there are two sets of changes that I have made at different times.  I hope the markups are not too confusing.</w:t>
      </w:r>
    </w:p>
    <w:p>
      <w:pPr>
        <w:pStyle w:val="BodyText"/>
        <w:rPr/>
      </w:pPr>
      <w:r>
        <w:rPr/>
      </w:r>
    </w:p>
    <w:p>
      <w:pPr>
        <w:pStyle w:val="BodyText"/>
        <w:ind w:firstLine="1440" w:end="0"/>
        <w:rPr/>
      </w:pPr>
      <w:r>
        <w:rPr/>
        <w:t>This memorandum summarizes two conceptual issues that underlie some of my comments.</w:t>
      </w:r>
    </w:p>
    <w:p>
      <w:pPr>
        <w:pStyle w:val="Normal"/>
        <w:rPr>
          <w:sz w:val="24"/>
        </w:rPr>
      </w:pPr>
      <w:r>
        <w:rPr>
          <w:sz w:val="24"/>
        </w:rPr>
      </w:r>
    </w:p>
    <w:p>
      <w:pPr>
        <w:pStyle w:val="Heading1"/>
        <w:ind w:hanging="0" w:start="0"/>
        <w:rPr/>
      </w:pPr>
      <w:r>
        <w:rPr/>
        <w:t>Participant versus Counterparty</w:t>
      </w:r>
    </w:p>
    <w:p>
      <w:pPr>
        <w:pStyle w:val="Normal"/>
        <w:rPr>
          <w:sz w:val="24"/>
        </w:rPr>
      </w:pPr>
      <w:r>
        <w:rPr>
          <w:sz w:val="24"/>
        </w:rPr>
      </w:r>
    </w:p>
    <w:p>
      <w:pPr>
        <w:pStyle w:val="Normal"/>
        <w:rPr>
          <w:sz w:val="24"/>
        </w:rPr>
      </w:pPr>
      <w:r>
        <w:rPr>
          <w:sz w:val="24"/>
        </w:rPr>
        <w:tab/>
        <w:tab/>
        <w:t>In the BETA, I have revised the meanings of the terms “Counterparty” and “Participant.”  A “Participant” is a person or entity who is authorized, pursuant to other “Operative Agreements,” to execute trades with Enron.  A “Counterparty” is a Participant who has entered into a Transaction subject to the BETA.  I have changed the use of these terms where appropriate to reflect those definitions.  If different definitions are more readily accepted within the trading community, please let me know.  You will note that in a few spots in the document, where the status of the Participant/Counterparty is not legally certain, I have used both terms with the qualifier “as the case may be.”  Please let me know if that works from your perspective.</w:t>
      </w:r>
    </w:p>
    <w:p>
      <w:pPr>
        <w:pStyle w:val="Normal"/>
        <w:rPr>
          <w:sz w:val="24"/>
        </w:rPr>
      </w:pPr>
      <w:r>
        <w:rPr>
          <w:sz w:val="24"/>
        </w:rPr>
      </w:r>
    </w:p>
    <w:p>
      <w:pPr>
        <w:pStyle w:val="Heading1"/>
        <w:ind w:hanging="0" w:start="0"/>
        <w:rPr/>
      </w:pPr>
      <w:r>
        <w:rPr/>
        <w:t>Transaction versus Execution</w:t>
      </w:r>
    </w:p>
    <w:p>
      <w:pPr>
        <w:pStyle w:val="Normal"/>
        <w:rPr>
          <w:sz w:val="24"/>
        </w:rPr>
      </w:pPr>
      <w:r>
        <w:rPr>
          <w:sz w:val="24"/>
        </w:rPr>
      </w:r>
    </w:p>
    <w:p>
      <w:pPr>
        <w:pStyle w:val="Normal"/>
        <w:rPr>
          <w:sz w:val="24"/>
        </w:rPr>
      </w:pPr>
      <w:r>
        <w:rPr>
          <w:sz w:val="24"/>
        </w:rPr>
        <w:tab/>
        <w:tab/>
        <w:t xml:space="preserve">The terms “Transaction” and “Execution” were also used in a way that was potentially confusing.  Sometimes we used “Execution” to mean a completed trade, and sometimes we used it to mean a proposed Transaction (at the point that a Broker accepted Enron’s terms and “proposed” a trade).  In general, I think “Transaction” was intended to signify the entirety of arrangements regarding a trade, while “Execution” was intended to signify the point at which the Broker submitted a bid, or (inconsistently) the point at which the binding obligation was formed.  </w:t>
      </w:r>
    </w:p>
    <w:p>
      <w:pPr>
        <w:pStyle w:val="Normal"/>
        <w:rPr>
          <w:sz w:val="24"/>
        </w:rPr>
      </w:pPr>
      <w:r>
        <w:rPr>
          <w:sz w:val="24"/>
        </w:rPr>
      </w:r>
    </w:p>
    <w:p>
      <w:pPr>
        <w:pStyle w:val="Normal"/>
        <w:ind w:firstLine="1440" w:end="0"/>
        <w:rPr>
          <w:sz w:val="24"/>
        </w:rPr>
      </w:pPr>
      <w:r>
        <w:rPr>
          <w:sz w:val="24"/>
        </w:rPr>
        <w:t>I have changed all references to “Execution” to be “proposed Transaction” or “Transaction,” as appropriate.  Also, I have clarified that a Broker’s action is a proposal or offer, which is entirely subject to Enron’s acceptance before it becomes a “Transaction.”  If, however, common practice more readily accepts the term “Execution,” and it is understood that an Execution is contingent upon Enron’s acceptance, then perhaps we should use “Execution” instead of “proposed Transaction.”</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C:\My Documents\M Taylor Cover Memo.doc</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C:\My Documents\M Taylor Cover Memo.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2001-01-09T08:59:00Z</dcterms:created>
  <dc:creator>Robert F. Lawrence</dc:creator>
  <dc:description/>
  <dc:language>en-CA</dc:language>
  <cp:lastModifiedBy>RLawrenc</cp:lastModifiedBy>
  <dcterms:modified xsi:type="dcterms:W3CDTF">2001-01-11T15:07:00Z</dcterms:modified>
  <cp:revision>4</cp:revision>
  <dc:subject/>
  <dc:title>MEMORANDUM</dc:title>
</cp:coreProperties>
</file>