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  <w:t>M-401, Real-Time Intra-zonal.doc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  <w:t>5.0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Courier New" w:ascii="Courier New" w:hAnsi="Courier New"/>
        </w:rPr>
        <w:t>12/12/2001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>
          <w:rFonts w:cs="Courier New" w:ascii="Courier New" w:hAnsi="Courier New"/>
        </w:rPr>
        <w:t>Changes were needed for clarity to dispatch OOS &amp; OOM for real time mitigation for Intra-Zonal Congestion</w:t>
      </w:r>
      <w:r>
        <w:rPr/>
        <w:t>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section for prescheduled outage dispatch by Outage Coordination.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instructions for communication with SCs and reasonable bids.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information for emergency dispatch.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clarity for market notification and dispatch in areas with &lt; 3 SCs.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direction to use RMR units for incremental energy for Intra-Zonal congestion at step 3.1.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Clarified what is meant by “Congested Area with 3 or more Market Participants” at step 3.5.1.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Changed the market notice for requesting bids from Market Participants to relieve Intra-Zonal congestion at step 3.5.1.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2001-12-03T19:33:00Z</dcterms:created>
  <dc:creator>MPeterson</dc:creator>
  <dc:description/>
  <dc:language>en-CA</dc:language>
  <cp:lastModifiedBy>mpeterson</cp:lastModifiedBy>
  <dcterms:modified xsi:type="dcterms:W3CDTF">2001-12-10T19:37:00Z</dcterms:modified>
  <cp:revision>5</cp:revision>
  <dc:subject/>
  <dc:title>Procedure Change Description</dc:title>
</cp:coreProperties>
</file>