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r>
    </w:p>
    <w:p>
      <w:pPr>
        <w:pStyle w:val="Heading8"/>
        <w:ind w:hanging="0" w:start="0"/>
        <w:rPr/>
      </w:pPr>
      <w:r>
        <w:rPr/>
        <w:t xml:space="preserve"> </w:t>
      </w:r>
    </w:p>
    <w:p>
      <w:pPr>
        <w:pStyle w:val="Normal"/>
        <w:rPr/>
      </w:pPr>
      <w:r>
        <w:rPr/>
      </w:r>
    </w:p>
    <w:p>
      <w:pPr>
        <w:pStyle w:val="Heading8"/>
        <w:ind w:hanging="0" w:start="0"/>
        <w:rPr>
          <w:sz w:val="22"/>
        </w:rPr>
      </w:pPr>
      <w:r>
        <w:rPr>
          <w:sz w:val="22"/>
        </w:rPr>
        <w:t xml:space="preserve">In the news…                                                                                            </w:t>
      </w:r>
    </w:p>
    <w:p>
      <w:pPr>
        <w:pStyle w:val="Header"/>
        <w:tabs>
          <w:tab w:val="clear" w:pos="4320"/>
          <w:tab w:val="clear" w:pos="8640"/>
        </w:tabs>
        <w:rPr>
          <w:sz w:val="22"/>
        </w:rPr>
      </w:pPr>
      <w:r>
        <w:rPr>
          <w:sz w:val="22"/>
        </w:rPr>
      </w:r>
    </w:p>
    <w:p>
      <w:pPr>
        <w:pStyle w:val="Header"/>
        <w:tabs>
          <w:tab w:val="clear" w:pos="4320"/>
          <w:tab w:val="clear" w:pos="8640"/>
        </w:tabs>
        <w:rPr>
          <w:sz w:val="22"/>
        </w:rPr>
      </w:pPr>
      <w:r>
        <w:rPr>
          <w:sz w:val="22"/>
        </w:rPr>
        <w:t xml:space="preserve">-Global market pulp </w:t>
      </w:r>
      <w:r>
        <w:rPr>
          <w:i/>
          <w:iCs/>
          <w:sz w:val="22"/>
        </w:rPr>
        <w:t>producer inventories</w:t>
      </w:r>
      <w:r>
        <w:rPr>
          <w:sz w:val="22"/>
        </w:rPr>
        <w:t xml:space="preserve"> declined 66,000 mtons in August to 3.4 million mtons from the prior month according to PPPC.  The inventory drop, the sixth in as many months, is evidence of producers’ continued discipline in the face of a tough market.  Significant recent downtime announcements include 17,000 mtons by Norske Skog for the months of September and October.  This brings Norske’s total downtime for the third quarter to 35,000 mtons.   August production, at 2.7 million mtons, registered a 2.3 percent drop from last month and was in line with the ten-year average drop of 2 percent for this period.  </w:t>
      </w:r>
      <w:r>
        <w:rPr>
          <w:i/>
          <w:iCs/>
          <w:sz w:val="22"/>
        </w:rPr>
        <w:t xml:space="preserve">  </w:t>
      </w:r>
    </w:p>
    <w:p>
      <w:pPr>
        <w:pStyle w:val="Header"/>
        <w:tabs>
          <w:tab w:val="clear" w:pos="4320"/>
          <w:tab w:val="clear" w:pos="8640"/>
        </w:tabs>
        <w:rPr>
          <w:i/>
          <w:i/>
          <w:iCs/>
          <w:sz w:val="22"/>
        </w:rPr>
      </w:pPr>
      <w:r>
        <w:rPr>
          <w:i/>
          <w:iCs/>
          <w:sz w:val="22"/>
        </w:rPr>
      </w:r>
    </w:p>
    <w:p>
      <w:pPr>
        <w:pStyle w:val="Header"/>
        <w:tabs>
          <w:tab w:val="clear" w:pos="4320"/>
          <w:tab w:val="clear" w:pos="8640"/>
        </w:tabs>
        <w:rPr/>
      </w:pPr>
      <w:r>
        <w:rPr>
          <w:i/>
          <w:iCs/>
          <w:sz w:val="22"/>
        </w:rPr>
        <w:t>-August shipments</w:t>
      </w:r>
      <w:r>
        <w:rPr>
          <w:sz w:val="22"/>
        </w:rPr>
        <w:t xml:space="preserve"> increased 1.2 percent from July to total 2.8 million tons.  This is a positive signal from the demand side of the market, particularly when compared with the historical month-on-month average change of 0.3 percent for the period.  Is a demand recovery in the wings?</w:t>
      </w:r>
    </w:p>
    <w:p>
      <w:pPr>
        <w:pStyle w:val="Header"/>
        <w:tabs>
          <w:tab w:val="clear" w:pos="4320"/>
          <w:tab w:val="clear" w:pos="8640"/>
        </w:tabs>
        <w:rPr>
          <w:sz w:val="22"/>
        </w:rPr>
      </w:pPr>
      <w:r>
        <w:rPr>
          <w:sz w:val="22"/>
        </w:rPr>
      </w:r>
    </w:p>
    <w:p>
      <w:pPr>
        <w:pStyle w:val="Normal"/>
        <w:autoSpaceDE w:val="false"/>
        <w:rPr/>
      </w:pPr>
      <w:r>
        <w:rPr>
          <w:b/>
          <w:bCs/>
          <w:sz w:val="22"/>
        </w:rPr>
        <w:t xml:space="preserve">Price. </w:t>
      </w:r>
      <w:r>
        <w:rPr>
          <w:sz w:val="22"/>
        </w:rPr>
        <w:t>In an attempt to gain momentum from the declining inventory trends, several producers</w:t>
      </w:r>
      <w:r>
        <w:rPr>
          <w:b/>
          <w:bCs/>
          <w:sz w:val="22"/>
        </w:rPr>
        <w:t xml:space="preserve"> </w:t>
      </w:r>
      <w:r>
        <w:rPr>
          <w:sz w:val="22"/>
        </w:rPr>
        <w:t>announced price increases effective October 1</w:t>
      </w:r>
      <w:r>
        <w:rPr>
          <w:sz w:val="22"/>
          <w:vertAlign w:val="superscript"/>
        </w:rPr>
        <w:t>st</w:t>
      </w:r>
      <w:r>
        <w:rPr>
          <w:sz w:val="22"/>
        </w:rPr>
        <w:t xml:space="preserve"> .  </w:t>
      </w:r>
      <w:r>
        <w:rPr>
          <w:b/>
          <w:bCs/>
          <w:sz w:val="22"/>
        </w:rPr>
        <w:t xml:space="preserve"> </w:t>
      </w:r>
      <w:r>
        <w:rPr>
          <w:sz w:val="22"/>
        </w:rPr>
        <w:t xml:space="preserve">Canfor, Parsons &amp; Whittemore, Sappi, Metsa-Botnia, Sodra Cell, Stora Enso, Portucel, Bahia Sul, VCP, and Ence all declared increases on the order of $20-$30/mton. </w:t>
      </w:r>
    </w:p>
    <w:p>
      <w:pPr>
        <w:pStyle w:val="Normal"/>
        <w:autoSpaceDE w:val="false"/>
        <w:rPr>
          <w:sz w:val="22"/>
        </w:rPr>
      </w:pPr>
      <w:r>
        <w:rPr>
          <w:sz w:val="22"/>
        </w:rPr>
      </w:r>
    </w:p>
    <w:p>
      <w:pPr>
        <w:pStyle w:val="Normal"/>
        <w:autoSpaceDE w:val="false"/>
        <w:rPr>
          <w:sz w:val="22"/>
        </w:rPr>
      </w:pPr>
      <w:r>
        <w:rPr>
          <w:sz w:val="22"/>
        </w:rPr>
        <w:t xml:space="preserve">Looking more towards the current market price, FOEX’s weekly index registered no change and a 0.6 percent drop (as measured in Euros) for its NBSK and BHKP indices, respectively. The NBSK index stands at US$450/mton while BHKP came in at Euro 436.76 or US$404.96.  Continue monitoring the weekly FOEX as an indication of whether or not the announced price increases will stick.   </w:t>
      </w:r>
    </w:p>
    <w:p>
      <w:pPr>
        <w:pStyle w:val="Normal"/>
        <w:autoSpaceDE w:val="false"/>
        <w:rPr>
          <w:sz w:val="22"/>
        </w:rPr>
      </w:pPr>
      <w:r>
        <w:rPr>
          <w:sz w:val="22"/>
        </w:rPr>
      </w:r>
    </w:p>
    <w:p>
      <w:pPr>
        <w:pStyle w:val="BodyText"/>
        <w:autoSpaceDE w:val="false"/>
        <w:rPr/>
      </w:pPr>
      <w:r>
        <w:rPr>
          <w:b/>
          <w:bCs/>
          <w:sz w:val="22"/>
        </w:rPr>
        <w:t>Market Conditions</w:t>
      </w:r>
      <w:r>
        <w:rPr>
          <w:sz w:val="22"/>
        </w:rPr>
        <w:t>. In order to ascertain whether the recently-announced price increases will hold, it’s important to look at recent market events.  Inventories, as stated earlier, have been on the decline for six straight months and are now coming very close to the psychological 1.5 million mton barrier.  The decreases during the most recent months are particularly noteworthy as this is a period which is typically characterized by stock increases for the “back to school” season.  Further, several producers have indicated that they are seeing preliminary signs of tightening on the demand side.  Hardwood supplies, in particular, appear to be getting tight at the present time.   However, the demand side of the equation still appears to be seeking some direction, but the positive shipments number released this week by PPPC just might be the start of a trend.  Although it is generally accepted that demand is closely tied with the economic cycle, many analysts believe that pulp prices can’t possibly get any lower --- especially in North America where some of the world’s highest-cost producers are located.  These analysts are also beginning to concede that the producers may actually make the price hike stick, but the question is, “for how long?”  We only need look as far as the newsprint market to see that downtime discipline isn’t always sufficient in and of itself to bring about a price increase.  So when will demand recover?  Market consensus continues to point towards somewhere in the 2</w:t>
      </w:r>
      <w:r>
        <w:rPr>
          <w:sz w:val="22"/>
          <w:vertAlign w:val="superscript"/>
        </w:rPr>
        <w:t>nd</w:t>
      </w:r>
      <w:r>
        <w:rPr>
          <w:sz w:val="22"/>
        </w:rPr>
        <w:t xml:space="preserve"> quarter of next year.   </w:t>
      </w:r>
    </w:p>
    <w:p>
      <w:pPr>
        <w:pStyle w:val="Normal"/>
        <w:autoSpaceDE w:val="false"/>
        <w:rPr>
          <w:sz w:val="22"/>
        </w:rPr>
      </w:pPr>
      <w:r>
        <w:rPr>
          <w:sz w:val="22"/>
        </w:rPr>
      </w:r>
    </w:p>
    <w:p>
      <w:pPr>
        <w:pStyle w:val="Normal"/>
        <w:jc w:val="center"/>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3">
                <wp:simplePos x="0" y="0"/>
                <wp:positionH relativeFrom="column">
                  <wp:posOffset>5829300</wp:posOffset>
                </wp:positionH>
                <wp:positionV relativeFrom="paragraph">
                  <wp:posOffset>191770</wp:posOffset>
                </wp:positionV>
                <wp:extent cx="1257300" cy="914400"/>
                <wp:effectExtent l="0" t="0" r="0" b="0"/>
                <wp:wrapNone/>
                <wp:docPr id="1" name="Frame1"/>
                <a:graphic xmlns:a="http://schemas.openxmlformats.org/drawingml/2006/main">
                  <a:graphicData uri="http://schemas.microsoft.com/office/word/2010/wordprocessingShape">
                    <wps:wsp>
                      <wps:cNvSpPr txBox="1"/>
                      <wps:spPr>
                        <a:xfrm>
                          <a:off x="0" y="0"/>
                          <a:ext cx="1257300" cy="914400"/>
                        </a:xfrm>
                        <a:prstGeom prst="rect"/>
                        <a:solidFill>
                          <a:srgbClr val="FFFFFF"/>
                        </a:solidFill>
                      </wps:spPr>
                      <wps:txbx>
                        <w:txbxContent>
                          <w:p>
                            <w:pPr>
                              <w:pStyle w:val="BodyText3"/>
                              <w:rPr/>
                            </w:pPr>
                            <w:r>
                              <w:rPr/>
                            </w:r>
                          </w:p>
                        </w:txbxContent>
                      </wps:txbx>
                      <wps:bodyPr anchor="t" lIns="92075" tIns="46355" rIns="92075" bIns="46355">
                        <a:noAutofit/>
                      </wps:bodyPr>
                    </wps:wsp>
                  </a:graphicData>
                </a:graphic>
              </wp:anchor>
            </w:drawing>
          </mc:Choice>
          <mc:Fallback>
            <w:pict>
              <v:rect fillcolor="#FFFFFF" style="position:absolute;rotation:-0;width:99pt;height:72pt;mso-wrap-distance-left:9.05pt;mso-wrap-distance-right:9.05pt;mso-wrap-distance-top:0pt;mso-wrap-distance-bottom:0pt;margin-top:15.1pt;mso-position-vertical-relative:text;margin-left:459pt;mso-position-horizontal-relative:text">
                <v:textbox inset="0.100694444444444in,0.0506944444444444in,0.100694444444444in,0.0506944444444444in">
                  <w:txbxContent>
                    <w:p>
                      <w:pPr>
                        <w:pStyle w:val="BodyText3"/>
                        <w:rPr/>
                      </w:pPr>
                      <w:r>
                        <w:rPr/>
                      </w:r>
                    </w:p>
                  </w:txbxContent>
                </v:textbox>
                <w10:wrap type="none"/>
              </v:rect>
            </w:pict>
          </mc:Fallback>
        </mc:AlternateContent>
      </w:r>
    </w:p>
    <w:p>
      <w:pPr>
        <w:pStyle w:val="Header"/>
        <w:tabs>
          <w:tab w:val="clear" w:pos="4320"/>
          <w:tab w:val="clear" w:pos="8640"/>
        </w:tabs>
        <w:rPr/>
      </w:pPr>
      <w:r>
        <w:rPr/>
      </w:r>
    </w:p>
    <w:sectPr>
      <w:headerReference w:type="default" r:id="rId2"/>
      <w:footerReference w:type="default" r:id="rId3"/>
      <w:type w:val="nextPage"/>
      <w:pgSz w:w="12240" w:h="15840"/>
      <w:pgMar w:left="576" w:right="432" w:gutter="0" w:header="360" w:top="432" w:footer="36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iCs/>
        <w:sz w:val="18"/>
      </w:rPr>
    </w:pPr>
    <w:r>
      <w:rPr>
        <w:i/>
        <w:iCs/>
        <w:sz w:val="18"/>
      </w:rPr>
      <w:fldChar w:fldCharType="begin"/>
    </w:r>
    <w:r>
      <w:rPr>
        <w:sz w:val="18"/>
        <w:i/>
        <w:iCs/>
      </w:rPr>
      <w:instrText xml:space="preserve"> DATE \@"M\/d\/yyyy" </w:instrText>
    </w:r>
    <w:r>
      <w:rPr>
        <w:sz w:val="18"/>
        <w:i/>
        <w:iCs/>
      </w:rPr>
      <w:fldChar w:fldCharType="separate"/>
    </w:r>
    <w:r>
      <w:rPr>
        <w:sz w:val="18"/>
        <w:i/>
        <w:iCs/>
      </w:rPr>
      <w:t>9/28/2025</w:t>
    </w:r>
    <w:r>
      <w:rPr>
        <w:sz w:val="18"/>
        <w:i/>
        <w:iCs/>
      </w:rPr>
      <w:fldChar w:fldCharType="end"/>
    </w:r>
  </w:p>
  <w:p>
    <w:pPr>
      <w:pStyle w:val="Footer"/>
      <w:rPr>
        <w:i/>
        <w:i/>
        <w:iCs/>
        <w:sz w:val="18"/>
      </w:rPr>
    </w:pPr>
    <w:r>
      <w:rPr>
        <w:i/>
        <w:iCs/>
        <w:sz w:val="18"/>
      </w:rPr>
      <w:t>Internal Use Only</w:t>
    </w:r>
  </w:p>
  <w:p>
    <w:pPr>
      <w:pStyle w:val="Normal"/>
      <w:rPr>
        <w:sz w:val="14"/>
      </w:rPr>
    </w:pPr>
    <w:r>
      <w:rPr>
        <w:sz w:val="14"/>
      </w:rPr>
      <w:t>Enron Industrial Markets and its affiliates are engaged in the trading of forest products and related commodities, and swaps, options, forwards and other derivatives on such commodities, for their own accounts and such trading could affect the markets for or prices of such commodities or derivatives.  The markets for and prices of such commodities and derivatives could also be affected by a variety of other factors, including supply and distribution factors, activities of other market participants and economic conditions generally.  Enron Industrial Markets and its affiliates assume no liability or responsibility for the accuracy or completeness of any information contained herein or for ensuring that any such information is current or updated.  The views set forth herein are intended solely for the personal use of the recipient, should not form the principal basis for any investment or trading decision and are not intended as advice or as a recommendation or solicitation of any transaction.  The user is solely responsible for any investment or trading decisions made on the basis of this information.  The information set forth herein is subject to change without notice at any time.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5220" w:leader="none"/>
        <w:tab w:val="center" w:pos="9900" w:leader="none"/>
      </w:tabs>
      <w:rPr/>
    </w:pPr>
    <w:r>
      <w:rPr/>
      <w:drawing>
        <wp:inline distT="0" distB="0" distL="0" distR="0">
          <wp:extent cx="7127240" cy="84137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5" t="-40" r="-5" b="-40"/>
                  <a:stretch>
                    <a:fillRect/>
                  </a:stretch>
                </pic:blipFill>
                <pic:spPr bwMode="auto">
                  <a:xfrm>
                    <a:off x="0" y="0"/>
                    <a:ext cx="7127240" cy="841375"/>
                  </a:xfrm>
                  <a:prstGeom prst="rect">
                    <a:avLst/>
                  </a:prstGeom>
                  <a:noFill/>
                </pic:spPr>
              </pic:pic>
            </a:graphicData>
          </a:graphic>
        </wp:inline>
      </w:drawing>
    </w:r>
    <w:r>
      <w:rPr/>
      <w:t xml:space="preserve"> </w:t>
    </w:r>
    <w:r>
      <w:rPr>
        <w:rFonts w:cs="Arial" w:ascii="Arial" w:hAnsi="Arial"/>
        <w:b/>
        <w:bCs/>
        <w:sz w:val="20"/>
      </w:rPr>
      <w:t>Dave Allan X5-2644</w:t>
      <w:tab/>
      <w:t>Karen Carter X3-0991</w:t>
      <w:tab/>
      <w:t>Monika Causholli X5-1510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outlineLvl w:val="0"/>
    </w:pPr>
    <w:rPr>
      <w:b/>
      <w:bCs/>
      <w:i/>
      <w:iCs/>
    </w:rPr>
  </w:style>
  <w:style w:type="paragraph" w:styleId="Heading2">
    <w:name w:val="heading 2"/>
    <w:basedOn w:val="Normal"/>
    <w:next w:val="Normal"/>
    <w:qFormat/>
    <w:pPr>
      <w:keepNext w:val="true"/>
      <w:numPr>
        <w:ilvl w:val="1"/>
        <w:numId w:val="1"/>
      </w:numPr>
      <w:jc w:val="center"/>
      <w:outlineLvl w:val="1"/>
    </w:pPr>
    <w:rPr>
      <w:b/>
      <w:bCs/>
    </w:rPr>
  </w:style>
  <w:style w:type="paragraph" w:styleId="Heading3">
    <w:name w:val="heading 3"/>
    <w:basedOn w:val="Normal"/>
    <w:next w:val="Normal"/>
    <w:qFormat/>
    <w:pPr>
      <w:keepNext w:val="true"/>
      <w:numPr>
        <w:ilvl w:val="2"/>
        <w:numId w:val="1"/>
      </w:numPr>
      <w:ind w:firstLine="720" w:start="7200" w:end="0"/>
      <w:jc w:val="end"/>
      <w:outlineLvl w:val="2"/>
    </w:pPr>
    <w:rPr>
      <w:b/>
      <w:bCs/>
      <w:sz w:val="20"/>
    </w:rPr>
  </w:style>
  <w:style w:type="paragraph" w:styleId="Heading4">
    <w:name w:val="heading 4"/>
    <w:basedOn w:val="Normal"/>
    <w:next w:val="Normal"/>
    <w:qFormat/>
    <w:pPr>
      <w:keepNext w:val="true"/>
      <w:numPr>
        <w:ilvl w:val="3"/>
        <w:numId w:val="1"/>
      </w:numPr>
      <w:outlineLvl w:val="3"/>
    </w:pPr>
    <w:rPr>
      <w:rFonts w:ascii="Arial" w:hAnsi="Arial" w:cs="Arial"/>
      <w:b/>
      <w:bCs/>
      <w:color w:val="008080"/>
      <w:sz w:val="12"/>
      <w:szCs w:val="16"/>
    </w:rPr>
  </w:style>
  <w:style w:type="paragraph" w:styleId="Heading5">
    <w:name w:val="heading 5"/>
    <w:basedOn w:val="Normal"/>
    <w:next w:val="Normal"/>
    <w:qFormat/>
    <w:pPr>
      <w:keepNext w:val="true"/>
      <w:numPr>
        <w:ilvl w:val="4"/>
        <w:numId w:val="1"/>
      </w:numPr>
      <w:jc w:val="both"/>
      <w:outlineLvl w:val="4"/>
    </w:pPr>
    <w:rPr>
      <w:rFonts w:ascii="Arial" w:hAnsi="Arial" w:cs="Arial"/>
      <w:b/>
      <w:bCs/>
      <w:sz w:val="16"/>
      <w:szCs w:val="16"/>
    </w:rPr>
  </w:style>
  <w:style w:type="paragraph" w:styleId="Heading6">
    <w:name w:val="heading 6"/>
    <w:basedOn w:val="Normal"/>
    <w:next w:val="Normal"/>
    <w:qFormat/>
    <w:pPr>
      <w:keepNext w:val="true"/>
      <w:numPr>
        <w:ilvl w:val="5"/>
        <w:numId w:val="1"/>
      </w:numPr>
      <w:autoSpaceDE w:val="false"/>
      <w:spacing w:before="100" w:after="100"/>
      <w:outlineLvl w:val="5"/>
    </w:pPr>
    <w:rPr>
      <w:b/>
      <w:bCs/>
      <w:i/>
      <w:iCs/>
      <w:sz w:val="20"/>
    </w:rPr>
  </w:style>
  <w:style w:type="paragraph" w:styleId="Heading7">
    <w:name w:val="heading 7"/>
    <w:basedOn w:val="Normal"/>
    <w:next w:val="Normal"/>
    <w:qFormat/>
    <w:pPr>
      <w:keepNext w:val="true"/>
      <w:numPr>
        <w:ilvl w:val="6"/>
        <w:numId w:val="1"/>
      </w:numPr>
      <w:jc w:val="center"/>
      <w:outlineLvl w:val="6"/>
    </w:pPr>
    <w:rPr>
      <w:b/>
      <w:bCs/>
      <w:sz w:val="14"/>
      <w:szCs w:val="20"/>
    </w:rPr>
  </w:style>
  <w:style w:type="paragraph" w:styleId="Heading8">
    <w:name w:val="heading 8"/>
    <w:basedOn w:val="Normal"/>
    <w:next w:val="Normal"/>
    <w:qFormat/>
    <w:pPr>
      <w:keepNext w:val="true"/>
      <w:numPr>
        <w:ilvl w:val="7"/>
        <w:numId w:val="1"/>
      </w:numPr>
      <w:outlineLvl w:val="7"/>
    </w:pPr>
    <w:rPr>
      <w:b/>
      <w:bCs/>
      <w:sz w:val="20"/>
    </w:rPr>
  </w:style>
  <w:style w:type="paragraph" w:styleId="Heading9">
    <w:name w:val="heading 9"/>
    <w:basedOn w:val="Normal"/>
    <w:next w:val="Normal"/>
    <w:qFormat/>
    <w:pPr>
      <w:keepNext w:val="true"/>
      <w:numPr>
        <w:ilvl w:val="8"/>
        <w:numId w:val="1"/>
      </w:numPr>
      <w:outlineLvl w:val="8"/>
    </w:pPr>
    <w:rPr>
      <w:b/>
      <w:bCs/>
      <w:sz w:val="21"/>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next w:val="Normal"/>
    <w:qFormat/>
    <w:pPr>
      <w:autoSpaceDE w:val="false"/>
      <w:spacing w:before="100" w:after="100"/>
    </w:pPr>
    <w:rPr>
      <w:i/>
      <w:iCs/>
      <w:sz w:val="16"/>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14"/>
    </w:rPr>
  </w:style>
  <w:style w:type="paragraph" w:styleId="BodyText3">
    <w:name w:val="Body Text 3"/>
    <w:basedOn w:val="Normal"/>
    <w:qFormat/>
    <w:pPr/>
    <w:rPr>
      <w:sz w:val="1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2001-09-28T19:18:00Z</dcterms:created>
  <dc:creator>vsingh3</dc:creator>
  <dc:description/>
  <dc:language>en-CA</dc:language>
  <cp:lastModifiedBy>mcaushol</cp:lastModifiedBy>
  <cp:lastPrinted>2001-09-28T16:19:00Z</cp:lastPrinted>
  <dcterms:modified xsi:type="dcterms:W3CDTF">2001-09-28T19:18:00Z</dcterms:modified>
  <cp:revision>2</cp:revision>
  <dc:subject/>
  <dc:title>                                                                                                       </dc:title>
</cp:coreProperties>
</file>