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24, 2001</w:t>
      </w:r>
    </w:p>
    <w:p>
      <w:pPr>
        <w:pStyle w:val="Header"/>
        <w:tabs>
          <w:tab w:val="clear" w:pos="4320"/>
          <w:tab w:val="clear" w:pos="8640"/>
        </w:tabs>
        <w:rPr>
          <w:sz w:val="16"/>
        </w:rPr>
      </w:pPr>
      <w:r>
        <w:rPr>
          <w:sz w:val="16"/>
        </w:rPr>
      </w:r>
    </w:p>
    <w:p>
      <w:pPr>
        <w:pStyle w:val="Normal"/>
        <w:rPr>
          <w:sz w:val="19"/>
        </w:rPr>
      </w:pPr>
      <w:r>
        <w:rPr>
          <w:sz w:val="19"/>
        </w:rPr>
        <w:t>In the news…</w:t>
      </w:r>
    </w:p>
    <w:p>
      <w:pPr>
        <w:pStyle w:val="Normal"/>
        <w:rPr>
          <w:sz w:val="19"/>
        </w:rPr>
      </w:pPr>
      <w:r>
        <w:rPr>
          <w:sz w:val="19"/>
        </w:rPr>
      </w:r>
    </w:p>
    <w:p>
      <w:pPr>
        <w:pStyle w:val="Normal"/>
        <w:rPr>
          <w:sz w:val="19"/>
        </w:rPr>
      </w:pPr>
      <w:r>
        <w:rPr>
          <w:sz w:val="19"/>
        </w:rPr>
        <w:t>- The Finnish-Swedish Stora Enso and International Paper of the United States were reported to be in merger talks to create the world’s biggest forest industry company with combined net sales of $40 billion.</w:t>
      </w:r>
    </w:p>
    <w:p>
      <w:pPr>
        <w:pStyle w:val="Normal"/>
        <w:rPr>
          <w:sz w:val="19"/>
        </w:rPr>
      </w:pPr>
      <w:r>
        <w:rPr>
          <w:sz w:val="19"/>
        </w:rPr>
        <w:t>- Parsons &amp; Whittemore began a two-week shutdown at St. Anne, its northern bleached hardwood kraft pulp (NBHK) mill in Nackawic, New Brunswick due to market conditions. The outage will take about 10,500 tonnes away from the mill’s supplies, or just over 16 percent of its quarterly capacity. The mill’s downtime brings the expected third-quarter downtime at Parsons &amp; Whittemore to about 24,500 tonnes.</w:t>
      </w:r>
    </w:p>
    <w:p>
      <w:pPr>
        <w:pStyle w:val="Normal"/>
        <w:rPr>
          <w:sz w:val="19"/>
        </w:rPr>
      </w:pPr>
      <w:r>
        <w:rPr>
          <w:sz w:val="19"/>
        </w:rPr>
        <w:t>- Michel Valois from Valois Vision Marketing reported yesterday that:</w:t>
      </w:r>
    </w:p>
    <w:p>
      <w:pPr>
        <w:pStyle w:val="Normal"/>
        <w:rPr/>
      </w:pPr>
      <w:r>
        <w:rPr>
          <w:sz w:val="19"/>
        </w:rPr>
        <w:t xml:space="preserve">    </w:t>
      </w:r>
      <w:r>
        <w:rPr>
          <w:i/>
          <w:iCs/>
          <w:sz w:val="19"/>
        </w:rPr>
        <w:t>Brazil</w:t>
      </w:r>
      <w:r>
        <w:rPr>
          <w:sz w:val="19"/>
        </w:rPr>
        <w:t>’s VCP and Cenibra took downtime in July, causing the operating rate to fall to 96 percent down from June’s 100 percent.                            Shipments were strong (332,000 tonnes) enabling producers’ inventories to fall by 31,000 tonnes to 359,000 tonnes.</w:t>
      </w:r>
    </w:p>
    <w:p>
      <w:pPr>
        <w:pStyle w:val="Normal"/>
        <w:rPr/>
      </w:pPr>
      <w:r>
        <w:rPr>
          <w:sz w:val="19"/>
        </w:rPr>
        <w:t xml:space="preserve">    </w:t>
      </w:r>
      <w:r>
        <w:rPr>
          <w:sz w:val="19"/>
        </w:rPr>
        <w:t xml:space="preserve">In </w:t>
      </w:r>
      <w:r>
        <w:rPr>
          <w:i/>
          <w:iCs/>
          <w:sz w:val="19"/>
        </w:rPr>
        <w:t>Chile,</w:t>
      </w:r>
      <w:r>
        <w:rPr>
          <w:sz w:val="19"/>
        </w:rPr>
        <w:t xml:space="preserve"> producers operated at 112 percent of capacity but due to strong shipments of 241,000 inventories fell by 54,000 tonnes.</w:t>
      </w:r>
    </w:p>
    <w:p>
      <w:pPr>
        <w:pStyle w:val="Normal"/>
        <w:rPr/>
      </w:pPr>
      <w:r>
        <w:rPr>
          <w:sz w:val="19"/>
        </w:rPr>
        <w:t xml:space="preserve">    </w:t>
      </w:r>
      <w:r>
        <w:rPr>
          <w:sz w:val="19"/>
        </w:rPr>
        <w:t xml:space="preserve">In </w:t>
      </w:r>
      <w:r>
        <w:rPr>
          <w:i/>
          <w:iCs/>
          <w:sz w:val="19"/>
        </w:rPr>
        <w:t>Spain,</w:t>
      </w:r>
      <w:r>
        <w:rPr>
          <w:sz w:val="19"/>
        </w:rPr>
        <w:t xml:space="preserve"> the mills operated at 102 percent of capacity and production reached 91,000 tonnes. As a result of weak shipments (83,000 tonnes) inventories increased to 112,000 tonnes.</w:t>
      </w:r>
    </w:p>
    <w:p>
      <w:pPr>
        <w:pStyle w:val="Normal"/>
        <w:rPr/>
      </w:pPr>
      <w:r>
        <w:rPr>
          <w:sz w:val="19"/>
        </w:rPr>
        <w:t xml:space="preserve">    </w:t>
      </w:r>
      <w:r>
        <w:rPr>
          <w:sz w:val="19"/>
        </w:rPr>
        <w:t xml:space="preserve">In </w:t>
      </w:r>
      <w:r>
        <w:rPr>
          <w:i/>
          <w:iCs/>
          <w:sz w:val="19"/>
        </w:rPr>
        <w:t>France and Belgium,</w:t>
      </w:r>
      <w:r>
        <w:rPr>
          <w:sz w:val="19"/>
        </w:rPr>
        <w:t xml:space="preserve"> producers’ inventories fell 2,000 tonnes as producers operated at 73 percent (69,000 tonnes), while shipments reached 71,000 tonnes.</w:t>
      </w:r>
    </w:p>
    <w:p>
      <w:pPr>
        <w:pStyle w:val="Normal"/>
        <w:rPr/>
      </w:pPr>
      <w:r>
        <w:rPr>
          <w:sz w:val="19"/>
        </w:rPr>
        <w:t xml:space="preserve">    </w:t>
      </w:r>
      <w:r>
        <w:rPr>
          <w:sz w:val="19"/>
        </w:rPr>
        <w:t xml:space="preserve">In </w:t>
      </w:r>
      <w:r>
        <w:rPr>
          <w:i/>
          <w:iCs/>
          <w:sz w:val="19"/>
        </w:rPr>
        <w:t>Portugal</w:t>
      </w:r>
      <w:r>
        <w:rPr>
          <w:sz w:val="19"/>
        </w:rPr>
        <w:t>, inventories fell 9,000 tonnes despite the producers’ operating rate of 107 percent. Shipments were strong (101,000 tonnes).</w:t>
      </w:r>
    </w:p>
    <w:p>
      <w:pPr>
        <w:pStyle w:val="Normal"/>
        <w:rPr>
          <w:sz w:val="19"/>
        </w:rPr>
      </w:pPr>
      <w:r>
        <w:rPr>
          <w:sz w:val="19"/>
        </w:rPr>
      </w:r>
    </w:p>
    <w:p>
      <w:pPr>
        <w:pStyle w:val="Normal"/>
        <w:rPr/>
      </w:pPr>
      <w:r>
        <w:rPr>
          <w:b/>
          <w:bCs/>
          <w:sz w:val="19"/>
        </w:rPr>
        <w:t xml:space="preserve">Price. </w:t>
      </w:r>
      <w:r>
        <w:rPr>
          <w:sz w:val="19"/>
        </w:rPr>
        <w:t xml:space="preserve">The pulp market continued to show price weakness in the soft grades, whereas the hardwood price increased for the second week in a row. The NBSK PIX pulp benchmark price on the Finnish Options Exchange fell to US$455.10, down US$2.48 (0.54%) from last week.  The BHKP benchmark price for Euca/Birch came in at $401.96, up $3.51 (0.88%) from last week. </w:t>
      </w:r>
    </w:p>
    <w:p>
      <w:pPr>
        <w:pStyle w:val="Normal"/>
        <w:rPr>
          <w:sz w:val="19"/>
        </w:rPr>
      </w:pPr>
      <w:r>
        <w:rPr>
          <w:sz w:val="19"/>
        </w:rPr>
      </w:r>
    </w:p>
    <w:p>
      <w:pPr>
        <w:pStyle w:val="Normal"/>
        <w:rPr/>
      </w:pPr>
      <w:r>
        <w:rPr>
          <w:b/>
          <w:bCs/>
          <w:sz w:val="19"/>
        </w:rPr>
        <w:t xml:space="preserve">Market Conditions. </w:t>
      </w:r>
      <w:r>
        <w:rPr>
          <w:sz w:val="19"/>
        </w:rPr>
        <w:t xml:space="preserve"> This week was relatively quiet in the pulp industry.  Producers continued to announce downtime as many of them cannot afford to produce at the current prices. This is especially true for the North American producers whose cash costs are much higher than the producers in Latin America or Asia. Yet the latest numbers reported from Valois Vision Marketing show that even producers at the low-cost producing countries have recently shown an impressive degree of discipline. The table below shows the producers’ inventory levels for 2001 in Brazil, Chile, Portugal, Spain and France/Belgium. The total inventory for these countries has dropped 12 percent since January.  This is certainly a positive trend in the eyes of pulp producers whose major concern has obviously been the direction of price. Producers are keeping their eyes open for any signs that would indicate at least a price level-off.</w:t>
      </w:r>
    </w:p>
    <w:p>
      <w:pPr>
        <w:pStyle w:val="Normal"/>
        <w:rPr/>
      </w:pPr>
      <w:r>
        <w:rPr>
          <w:sz w:val="19"/>
        </w:rPr>
        <w:t xml:space="preserve">Let’s see what has happened to the pulp price recently. The chart below shows the Pulpex prices for NBSK as well as the FOEX index for both NBSK and BHKP starting in January of this year. From the graph, one can notice the recent upward trend in the Pulpex prices. In addition, as mentioned earlier the FOEX BHKP increased for the second week in a row and this has been the biggest increase for the first time since the beginning of this year.  These are two very hopeful signs for producers. They </w:t>
      </w:r>
      <w:r>
        <w:rPr>
          <w:i/>
          <w:iCs/>
          <w:sz w:val="19"/>
        </w:rPr>
        <w:t>might</w:t>
      </w:r>
      <w:r>
        <w:rPr>
          <w:sz w:val="19"/>
        </w:rPr>
        <w:t xml:space="preserve"> indicate a bottom. Yet, FOEX NBSK is continuing to drop at more or less the same rate.  So the next question is: where are we now? Well, not far from where we were last week: Signs are still too mixed and market consensus is still too uncertain on the issue of the pulp price recovery.                                                                                                                                                                                                                       </w:t>
      </w:r>
    </w:p>
    <w:p>
      <w:pPr>
        <w:pStyle w:val="Normal"/>
        <w:rPr>
          <w:sz w:val="20"/>
        </w:rPr>
      </w:pPr>
      <w:r>
        <w:rPr>
          <w:sz w:val="20"/>
        </w:rPr>
      </w:r>
    </w:p>
    <w:p>
      <w:pPr>
        <w:pStyle w:val="Normal"/>
        <w:rPr/>
      </w:pPr>
      <w:r>
        <w:rPr>
          <w:sz w:val="20"/>
        </w:rPr>
        <w:t xml:space="preserve">   </w:t>
      </w:r>
      <w:r>
        <w:rPr>
          <w:sz w:val="20"/>
        </w:rPr>
        <w:tab/>
        <w:tab/>
        <w:tab/>
        <w:tab/>
        <w:tab/>
        <w:tab/>
        <w:tab/>
        <w:tab/>
        <w:t xml:space="preserve">                             </w:t>
      </w:r>
      <w:r>
        <w:rPr>
          <w:b/>
          <w:bCs/>
          <w:sz w:val="20"/>
        </w:rPr>
        <w:t>2001 Inventory Levels (in 000’s)</w:t>
      </w:r>
    </w:p>
    <w:p>
      <w:pPr>
        <w:pStyle w:val="Normal"/>
        <w:rPr>
          <w:sz w:val="20"/>
        </w:rPr>
      </w:pPr>
      <w:r>
        <w:rPr/>
        <mc:AlternateContent>
          <mc:Choice Requires="wps">
            <w:drawing>
              <wp:anchor behindDoc="0" distT="0" distB="0" distL="114935" distR="114935" simplePos="0" locked="0" layoutInCell="1" allowOverlap="1" relativeHeight="7">
                <wp:simplePos x="0" y="0"/>
                <wp:positionH relativeFrom="column">
                  <wp:posOffset>2514600</wp:posOffset>
                </wp:positionH>
                <wp:positionV relativeFrom="paragraph">
                  <wp:posOffset>1499870</wp:posOffset>
                </wp:positionV>
                <wp:extent cx="342900" cy="114300"/>
                <wp:effectExtent l="0" t="5080" r="1905" b="12065"/>
                <wp:wrapNone/>
                <wp:docPr id="2" name=""/>
                <a:graphic xmlns:a="http://schemas.openxmlformats.org/drawingml/2006/main">
                  <a:graphicData uri="http://schemas.microsoft.com/office/word/2010/wordprocessingShape">
                    <wps:wsp>
                      <wps:cNvSpPr/>
                      <wps:spPr>
                        <a:xfrm flipH="1">
                          <a:off x="0" y="0"/>
                          <a:ext cx="343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18.1pt" to="224.95pt,127.0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2743200</wp:posOffset>
                </wp:positionH>
                <wp:positionV relativeFrom="paragraph">
                  <wp:posOffset>1385570</wp:posOffset>
                </wp:positionV>
                <wp:extent cx="457200" cy="228600"/>
                <wp:effectExtent l="5080" t="5080" r="5715" b="5715"/>
                <wp:wrapNone/>
                <wp:docPr id="3" name=""/>
                <a:graphic xmlns:a="http://schemas.openxmlformats.org/drawingml/2006/main">
                  <a:graphicData uri="http://schemas.microsoft.com/office/word/2010/wordprocessingShape">
                    <wps:wsp>
                      <wps:cNvSpPr/>
                      <wps:spPr>
                        <a:xfrm>
                          <a:off x="0" y="0"/>
                          <a:ext cx="457200" cy="22860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16pt;margin-top:109.1pt;width:35.95pt;height:17.95pt;mso-wrap-style:none;v-text-anchor:middle">
                <v:fill o:detectmouseclick="t" on="false"/>
                <v:stroke color="black" weight="9360" joinstyle="miter" endcap="flat"/>
                <w10:wrap type="none"/>
              </v:oval>
            </w:pict>
          </mc:Fallback>
        </mc:AlternateContent>
        <w:object w:dxaOrig="512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9pt;height:174pt" filled="f" o:ole="">
            <v:imagedata r:id="rId3" o:title=""/>
          </v:shape>
          <o:OLEObject Type="Embed" ProgID="Excel.Sheet.12" ShapeID="ole_rId2" DrawAspect="Content" ObjectID="_1747887258" r:id="rId2"/>
        </w:object>
      </w:r>
      <w:r>
        <mc:AlternateContent>
          <mc:Choice Requires="wps">
            <w:drawing>
              <wp:anchor behindDoc="0" distT="0" distB="0" distL="114935" distR="114935" simplePos="0" locked="0" layoutInCell="1" allowOverlap="1" relativeHeight="6">
                <wp:simplePos x="0" y="0"/>
                <wp:positionH relativeFrom="column">
                  <wp:posOffset>3881755</wp:posOffset>
                </wp:positionH>
                <wp:positionV relativeFrom="paragraph">
                  <wp:posOffset>34290</wp:posOffset>
                </wp:positionV>
                <wp:extent cx="3209290" cy="2148840"/>
                <wp:effectExtent l="0" t="0" r="0" b="0"/>
                <wp:wrapNone/>
                <wp:docPr id="4" name="Frame3"/>
                <a:graphic xmlns:a="http://schemas.openxmlformats.org/drawingml/2006/main">
                  <a:graphicData uri="http://schemas.microsoft.com/office/word/2010/wordprocessingShape">
                    <wps:wsp>
                      <wps:cNvSpPr txBox="1"/>
                      <wps:spPr>
                        <a:xfrm>
                          <a:off x="0" y="0"/>
                          <a:ext cx="3209290" cy="2148840"/>
                        </a:xfrm>
                        <a:prstGeom prst="rect"/>
                        <a:solidFill>
                          <a:srgbClr val="FFFFFF"/>
                        </a:solidFill>
                        <a:ln w="9525">
                          <a:solidFill>
                            <a:srgbClr val="000000"/>
                          </a:solidFill>
                        </a:ln>
                      </wps:spPr>
                      <wps:txbx>
                        <w:txbxContent>
                          <w:tbl>
                            <w:tblPr>
                              <w:tblW w:w="4680" w:type="dxa"/>
                              <w:jc w:val="start"/>
                              <w:tblInd w:w="0" w:type="dxa"/>
                              <w:tblLayout w:type="fixed"/>
                              <w:tblCellMar>
                                <w:top w:w="15" w:type="dxa"/>
                                <w:start w:w="15" w:type="dxa"/>
                                <w:bottom w:w="0" w:type="dxa"/>
                                <w:end w:w="15" w:type="dxa"/>
                              </w:tblCellMar>
                            </w:tblPr>
                            <w:tblGrid>
                              <w:gridCol w:w="640"/>
                              <w:gridCol w:w="640"/>
                              <w:gridCol w:w="640"/>
                              <w:gridCol w:w="640"/>
                              <w:gridCol w:w="640"/>
                              <w:gridCol w:w="660"/>
                              <w:gridCol w:w="820"/>
                            </w:tblGrid>
                            <w:tr>
                              <w:trPr>
                                <w:trHeight w:val="255" w:hRule="atLeast"/>
                              </w:trPr>
                              <w:tc>
                                <w:tcPr>
                                  <w:tcW w:w="640" w:type="dxa"/>
                                  <w:tcBorders>
                                    <w:top w:val="single" w:sz="8" w:space="0" w:color="000000"/>
                                    <w:start w:val="single" w:sz="8" w:space="0" w:color="000000"/>
                                  </w:tcBorders>
                                  <w:shd w:fill="00FFFF" w:val="clear"/>
                                  <w:vAlign w:val="bottom"/>
                                </w:tcPr>
                                <w:p>
                                  <w:pPr>
                                    <w:pStyle w:val="Normal"/>
                                    <w:rPr>
                                      <w:rFonts w:ascii="Arial" w:hAnsi="Arial" w:eastAsia="Arial Unicode MS" w:cs="Arial"/>
                                      <w:b/>
                                      <w:bCs/>
                                      <w:sz w:val="12"/>
                                      <w:szCs w:val="12"/>
                                    </w:rPr>
                                  </w:pPr>
                                  <w:r>
                                    <w:rPr>
                                      <w:rFonts w:cs="Arial" w:ascii="Arial" w:hAnsi="Arial"/>
                                      <w:b/>
                                      <w:bCs/>
                                      <w:sz w:val="12"/>
                                      <w:szCs w:val="12"/>
                                    </w:rPr>
                                    <w:t>Month</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Brazil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Chile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Portugal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Spain </w:t>
                                  </w:r>
                                </w:p>
                              </w:tc>
                              <w:tc>
                                <w:tcPr>
                                  <w:tcW w:w="66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Fra/Bel </w:t>
                                  </w:r>
                                </w:p>
                              </w:tc>
                              <w:tc>
                                <w:tcPr>
                                  <w:tcW w:w="820" w:type="dxa"/>
                                  <w:tcBorders>
                                    <w:top w:val="single" w:sz="8" w:space="0" w:color="000000"/>
                                    <w:end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Total </w:t>
                                  </w:r>
                                </w:p>
                              </w:tc>
                            </w:tr>
                            <w:tr>
                              <w:trPr>
                                <w:trHeight w:val="270" w:hRule="atLeast"/>
                              </w:trPr>
                              <w:tc>
                                <w:tcPr>
                                  <w:tcW w:w="640" w:type="dxa"/>
                                  <w:tcBorders>
                                    <w:start w:val="single" w:sz="8" w:space="0" w:color="000000"/>
                                    <w:bottom w:val="single" w:sz="8" w:space="0" w:color="000000"/>
                                  </w:tcBorders>
                                  <w:shd w:fill="00FFFF"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6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820" w:type="dxa"/>
                                  <w:tcBorders>
                                    <w:bottom w:val="single" w:sz="8" w:space="0" w:color="000000"/>
                                    <w:end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Jan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454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716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122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1,464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Feb</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469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762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96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128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1,569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Mar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490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706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101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134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1,568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Apr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696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1,540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xml:space="preserve">May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427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665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1,449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391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104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1,382 </w:t>
                                  </w:r>
                                </w:p>
                              </w:tc>
                            </w:tr>
                            <w:tr>
                              <w:trPr>
                                <w:trHeight w:val="345" w:hRule="atLeast"/>
                              </w:trPr>
                              <w:tc>
                                <w:tcPr>
                                  <w:tcW w:w="640" w:type="dxa"/>
                                  <w:tcBorders>
                                    <w:start w:val="single" w:sz="8" w:space="0" w:color="000000"/>
                                    <w:bottom w:val="single" w:sz="8"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Jul</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359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582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133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107 </w:t>
                                  </w:r>
                                </w:p>
                              </w:tc>
                              <w:tc>
                                <w:tcPr>
                                  <w:tcW w:w="820" w:type="dxa"/>
                                  <w:tcBorders>
                                    <w:bottom w:val="single" w:sz="8"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1,293 </w:t>
                                  </w:r>
                                </w:p>
                              </w:tc>
                            </w:tr>
                          </w:tbl>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2.7pt;height:169.2pt;mso-wrap-distance-left:9.05pt;mso-wrap-distance-right:9.05pt;mso-wrap-distance-top:0pt;mso-wrap-distance-bottom:0pt;margin-top:2.7pt;mso-position-vertical-relative:text;margin-left:305.65pt;mso-position-horizontal-relative:text">
                <v:textbox>
                  <w:txbxContent>
                    <w:tbl>
                      <w:tblPr>
                        <w:tblW w:w="4680" w:type="dxa"/>
                        <w:jc w:val="start"/>
                        <w:tblInd w:w="0" w:type="dxa"/>
                        <w:tblLayout w:type="fixed"/>
                        <w:tblCellMar>
                          <w:top w:w="15" w:type="dxa"/>
                          <w:start w:w="15" w:type="dxa"/>
                          <w:bottom w:w="0" w:type="dxa"/>
                          <w:end w:w="15" w:type="dxa"/>
                        </w:tblCellMar>
                      </w:tblPr>
                      <w:tblGrid>
                        <w:gridCol w:w="640"/>
                        <w:gridCol w:w="640"/>
                        <w:gridCol w:w="640"/>
                        <w:gridCol w:w="640"/>
                        <w:gridCol w:w="640"/>
                        <w:gridCol w:w="660"/>
                        <w:gridCol w:w="820"/>
                      </w:tblGrid>
                      <w:tr>
                        <w:trPr>
                          <w:trHeight w:val="255" w:hRule="atLeast"/>
                        </w:trPr>
                        <w:tc>
                          <w:tcPr>
                            <w:tcW w:w="640" w:type="dxa"/>
                            <w:tcBorders>
                              <w:top w:val="single" w:sz="8" w:space="0" w:color="000000"/>
                              <w:start w:val="single" w:sz="8" w:space="0" w:color="000000"/>
                            </w:tcBorders>
                            <w:shd w:fill="00FFFF" w:val="clear"/>
                            <w:vAlign w:val="bottom"/>
                          </w:tcPr>
                          <w:p>
                            <w:pPr>
                              <w:pStyle w:val="Normal"/>
                              <w:rPr>
                                <w:rFonts w:ascii="Arial" w:hAnsi="Arial" w:eastAsia="Arial Unicode MS" w:cs="Arial"/>
                                <w:b/>
                                <w:bCs/>
                                <w:sz w:val="12"/>
                                <w:szCs w:val="12"/>
                              </w:rPr>
                            </w:pPr>
                            <w:r>
                              <w:rPr>
                                <w:rFonts w:cs="Arial" w:ascii="Arial" w:hAnsi="Arial"/>
                                <w:b/>
                                <w:bCs/>
                                <w:sz w:val="12"/>
                                <w:szCs w:val="12"/>
                              </w:rPr>
                              <w:t>Month</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Brazil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Chile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Portugal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Spain </w:t>
                            </w:r>
                          </w:p>
                        </w:tc>
                        <w:tc>
                          <w:tcPr>
                            <w:tcW w:w="66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Fra/Bel </w:t>
                            </w:r>
                          </w:p>
                        </w:tc>
                        <w:tc>
                          <w:tcPr>
                            <w:tcW w:w="820" w:type="dxa"/>
                            <w:tcBorders>
                              <w:top w:val="single" w:sz="8" w:space="0" w:color="000000"/>
                              <w:end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Total </w:t>
                            </w:r>
                          </w:p>
                        </w:tc>
                      </w:tr>
                      <w:tr>
                        <w:trPr>
                          <w:trHeight w:val="270" w:hRule="atLeast"/>
                        </w:trPr>
                        <w:tc>
                          <w:tcPr>
                            <w:tcW w:w="640" w:type="dxa"/>
                            <w:tcBorders>
                              <w:start w:val="single" w:sz="8" w:space="0" w:color="000000"/>
                              <w:bottom w:val="single" w:sz="8" w:space="0" w:color="000000"/>
                            </w:tcBorders>
                            <w:shd w:fill="00FFFF"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6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820" w:type="dxa"/>
                            <w:tcBorders>
                              <w:bottom w:val="single" w:sz="8" w:space="0" w:color="000000"/>
                              <w:end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Jan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454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716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122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1,464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Feb</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469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762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96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128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1,569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Mar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490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706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101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134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1,568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Apr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696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1,540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xml:space="preserve">May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427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665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1,449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391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104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1,382 </w:t>
                            </w:r>
                          </w:p>
                        </w:tc>
                      </w:tr>
                      <w:tr>
                        <w:trPr>
                          <w:trHeight w:val="345" w:hRule="atLeast"/>
                        </w:trPr>
                        <w:tc>
                          <w:tcPr>
                            <w:tcW w:w="640" w:type="dxa"/>
                            <w:tcBorders>
                              <w:start w:val="single" w:sz="8" w:space="0" w:color="000000"/>
                              <w:bottom w:val="single" w:sz="8"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Jul</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359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582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133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107 </w:t>
                            </w:r>
                          </w:p>
                        </w:tc>
                        <w:tc>
                          <w:tcPr>
                            <w:tcW w:w="820" w:type="dxa"/>
                            <w:tcBorders>
                              <w:bottom w:val="single" w:sz="8"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1,293 </w:t>
                            </w:r>
                          </w:p>
                        </w:tc>
                      </w:tr>
                    </w:tbl>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1943100</wp:posOffset>
                </wp:positionH>
                <wp:positionV relativeFrom="paragraph">
                  <wp:posOffset>1499870</wp:posOffset>
                </wp:positionV>
                <wp:extent cx="800100" cy="457200"/>
                <wp:effectExtent l="0" t="0" r="0" b="0"/>
                <wp:wrapNone/>
                <wp:docPr id="5" name="Frame2"/>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Normal"/>
                              <w:rPr>
                                <w:b/>
                                <w:bCs/>
                                <w:color w:val="666699"/>
                                <w:sz w:val="13"/>
                              </w:rPr>
                            </w:pPr>
                            <w:r>
                              <w:rPr>
                                <w:b/>
                                <w:bCs/>
                                <w:color w:val="666699"/>
                                <w:sz w:val="13"/>
                              </w:rPr>
                              <w:t xml:space="preserve">       </w:t>
                            </w:r>
                            <w:r>
                              <w:rPr>
                                <w:b/>
                                <w:bCs/>
                                <w:color w:val="666699"/>
                                <w:sz w:val="13"/>
                              </w:rPr>
                              <w:t xml:space="preserve">Pulpex </w:t>
                            </w:r>
                          </w:p>
                          <w:p>
                            <w:pPr>
                              <w:pStyle w:val="Normal"/>
                              <w:rPr/>
                            </w:pPr>
                            <w:r>
                              <w:rPr>
                                <w:b/>
                                <w:bCs/>
                                <w:color w:val="666699"/>
                                <w:sz w:val="13"/>
                              </w:rPr>
                              <w:t xml:space="preserve"> </w:t>
                            </w:r>
                            <w:r>
                              <w:rPr>
                                <w:b/>
                                <w:bCs/>
                                <w:color w:val="666699"/>
                                <w:sz w:val="13"/>
                              </w:rPr>
                              <w:t>upward trend</w:t>
                            </w:r>
                            <w:r>
                              <w:rPr>
                                <w:sz w:val="16"/>
                              </w:rPr>
                              <w:t xml:space="preserve"> </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118.1pt;mso-position-vertical-relative:text;margin-left:153pt;mso-position-horizontal-relative:text">
                <v:fill opacity="0f"/>
                <v:textbox inset="0.100694444444444in,0.0506944444444444in,0.100694444444444in,0.0506944444444444in">
                  <w:txbxContent>
                    <w:p>
                      <w:pPr>
                        <w:pStyle w:val="Normal"/>
                        <w:rPr>
                          <w:b/>
                          <w:bCs/>
                          <w:color w:val="666699"/>
                          <w:sz w:val="13"/>
                        </w:rPr>
                      </w:pPr>
                      <w:r>
                        <w:rPr>
                          <w:b/>
                          <w:bCs/>
                          <w:color w:val="666699"/>
                          <w:sz w:val="13"/>
                        </w:rPr>
                        <w:t xml:space="preserve">       </w:t>
                      </w:r>
                      <w:r>
                        <w:rPr>
                          <w:b/>
                          <w:bCs/>
                          <w:color w:val="666699"/>
                          <w:sz w:val="13"/>
                        </w:rPr>
                        <w:t xml:space="preserve">Pulpex </w:t>
                      </w:r>
                    </w:p>
                    <w:p>
                      <w:pPr>
                        <w:pStyle w:val="Normal"/>
                        <w:rPr/>
                      </w:pPr>
                      <w:r>
                        <w:rPr>
                          <w:b/>
                          <w:bCs/>
                          <w:color w:val="666699"/>
                          <w:sz w:val="13"/>
                        </w:rPr>
                        <w:t xml:space="preserve"> </w:t>
                      </w:r>
                      <w:r>
                        <w:rPr>
                          <w:b/>
                          <w:bCs/>
                          <w:color w:val="666699"/>
                          <w:sz w:val="13"/>
                        </w:rPr>
                        <w:t>upward trend</w:t>
                      </w:r>
                      <w:r>
                        <w:rPr>
                          <w:sz w:val="16"/>
                        </w:rPr>
                        <w:t xml:space="preserve"> </w:t>
                      </w:r>
                    </w:p>
                  </w:txbxContent>
                </v:textbox>
                <w10:wrap type="none"/>
              </v:rect>
            </w:pict>
          </mc:Fallback>
        </mc:AlternateContent>
      </w:r>
    </w:p>
    <w:p>
      <w:pPr>
        <w:pStyle w:val="Heading8"/>
        <w:pBdr>
          <w:bottom w:val="single" w:sz="4" w:space="1" w:color="000000"/>
        </w:pBdr>
        <w:ind w:hanging="0" w:start="0"/>
        <w:rPr/>
      </w:pPr>
      <w:r>
        <w:rPr>
          <w:b w:val="false"/>
          <w:bCs w:val="false"/>
          <w:i/>
          <w:iCs/>
          <w:sz w:val="14"/>
        </w:rPr>
        <w:t xml:space="preserve">            </w:t>
      </w:r>
      <w:r>
        <w:rPr>
          <w:b w:val="false"/>
          <w:bCs w:val="false"/>
          <w:i/>
          <w:iCs/>
          <w:sz w:val="14"/>
        </w:rPr>
        <w:t xml:space="preserve">source: </w:t>
      </w:r>
      <w:hyperlink r:id="rId4">
        <w:r>
          <w:rPr>
            <w:rStyle w:val="Hyperlink"/>
            <w:b/>
            <w:bCs/>
            <w:i/>
            <w:iCs/>
            <w:sz w:val="14"/>
          </w:rPr>
          <w:t>www.pulpex.com</w:t>
        </w:r>
      </w:hyperlink>
      <w:r>
        <w:rPr>
          <w:b w:val="false"/>
          <w:bCs w:val="false"/>
          <w:i/>
          <w:iCs/>
          <w:sz w:val="14"/>
        </w:rPr>
        <w:t xml:space="preserve">; www.foex.fi                                                                                                            source: Valois Vision Marketing                                                                        </w:t>
      </w:r>
    </w:p>
    <w:p>
      <w:pPr>
        <w:pStyle w:val="Heading8"/>
        <w:pBdr>
          <w:bottom w:val="single" w:sz="4" w:space="1" w:color="000000"/>
        </w:pBdr>
        <w:ind w:hanging="0" w:start="0"/>
        <w:rPr>
          <w:b w:val="false"/>
          <w:bCs w:val="false"/>
          <w:i/>
          <w:i/>
          <w:iCs/>
          <w:sz w:val="14"/>
        </w:rPr>
      </w:pPr>
      <w:r>
        <w:rPr>
          <w:b w:val="false"/>
          <w:bCs w:val="false"/>
          <w:i/>
          <w:iCs/>
          <w:sz w:val="14"/>
        </w:rPr>
        <w:t xml:space="preserve">                                                                                                                                                                                                                   </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p>
      <w:pPr>
        <w:pStyle w:val="Header"/>
        <w:tabs>
          <w:tab w:val="clear" w:pos="4320"/>
          <w:tab w:val="clear" w:pos="8640"/>
        </w:tabs>
        <w:rPr>
          <w:sz w:val="14"/>
        </w:rPr>
      </w:pPr>
      <w:r>
        <w:rPr>
          <w:sz w:val="14"/>
        </w:rPr>
      </w:r>
    </w:p>
    <w:p>
      <w:pPr>
        <w:pStyle w:val="Normal"/>
        <w:rPr/>
      </w:pPr>
      <w:r>
        <w:rPr/>
      </w:r>
    </w:p>
    <w:p>
      <w:pPr>
        <w:pStyle w:val="Normal"/>
        <w:rPr/>
      </w:pPr>
      <w:r>
        <w:rPr/>
      </w:r>
    </w:p>
    <w:p>
      <w:pPr>
        <w:pStyle w:val="Normal"/>
        <w:rPr/>
      </w:pPr>
      <w:r>
        <w:rPr/>
      </w:r>
    </w:p>
    <w:sectPr>
      <w:headerReference w:type="default" r:id="rId5"/>
      <w:footerReference w:type="default" r:id="rId6"/>
      <w:type w:val="nextPage"/>
      <w:pgSz w:w="12240" w:h="15840"/>
      <w:pgMar w:left="576" w:right="432"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4">
          <wp:simplePos x="0" y="0"/>
          <wp:positionH relativeFrom="column">
            <wp:posOffset>0</wp:posOffset>
          </wp:positionH>
          <wp:positionV relativeFrom="paragraph">
            <wp:posOffset>-68580</wp:posOffset>
          </wp:positionV>
          <wp:extent cx="1028700" cy="43815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yperlink" Target="http://www.pulpex.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2001-08-24T09:49:00Z</dcterms:created>
  <dc:creator>vsingh3</dc:creator>
  <dc:description/>
  <dc:language>en-CA</dc:language>
  <cp:lastModifiedBy>mcaushol</cp:lastModifiedBy>
  <cp:lastPrinted>2001-08-24T11:15:00Z</cp:lastPrinted>
  <dcterms:modified xsi:type="dcterms:W3CDTF">2001-08-24T13:54:00Z</dcterms:modified>
  <cp:revision>36</cp:revision>
  <dc:subject/>
  <dc:title/>
</cp:coreProperties>
</file>