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17, 2001</w:t>
      </w:r>
    </w:p>
    <w:p>
      <w:pPr>
        <w:pStyle w:val="Header"/>
        <w:tabs>
          <w:tab w:val="clear" w:pos="4320"/>
          <w:tab w:val="clear" w:pos="8640"/>
        </w:tabs>
        <w:rPr>
          <w:sz w:val="16"/>
        </w:rPr>
      </w:pPr>
      <w:r>
        <w:rPr>
          <w:sz w:val="16"/>
        </w:rPr>
      </w:r>
    </w:p>
    <w:p>
      <w:pPr>
        <w:pStyle w:val="Normal"/>
        <w:rPr>
          <w:sz w:val="20"/>
        </w:rPr>
      </w:pPr>
      <w:r>
        <w:rPr>
          <w:sz w:val="20"/>
        </w:rPr>
        <w:t>In the news…</w:t>
      </w:r>
    </w:p>
    <w:p>
      <w:pPr>
        <w:pStyle w:val="Normal"/>
        <w:rPr>
          <w:sz w:val="20"/>
        </w:rPr>
      </w:pPr>
      <w:r>
        <w:rPr>
          <w:sz w:val="20"/>
        </w:rPr>
      </w:r>
    </w:p>
    <w:p>
      <w:pPr>
        <w:pStyle w:val="Normal"/>
        <w:rPr>
          <w:sz w:val="20"/>
        </w:rPr>
      </w:pPr>
      <w:r>
        <w:rPr>
          <w:sz w:val="20"/>
        </w:rPr>
        <w:t xml:space="preserve">The Pulp and Paper Products Council has released its International Chemical Market Pulp statistics for July. According to these statistics: </w:t>
      </w:r>
    </w:p>
    <w:p>
      <w:pPr>
        <w:pStyle w:val="Normal"/>
        <w:rPr/>
      </w:pPr>
      <w:r>
        <w:rPr>
          <w:sz w:val="20"/>
        </w:rPr>
        <w:t xml:space="preserve">-Producers' pulp </w:t>
      </w:r>
      <w:r>
        <w:rPr>
          <w:b/>
          <w:bCs/>
          <w:sz w:val="20"/>
        </w:rPr>
        <w:t>inventories</w:t>
      </w:r>
      <w:r>
        <w:rPr>
          <w:sz w:val="20"/>
        </w:rPr>
        <w:t xml:space="preserve"> in Finland, Sweden, the United States and Canada rose 5000 tonnes from the previous month to 1.785 million tons.  The 10-year average inventory change for July has been +147,000 tonnes. </w:t>
      </w:r>
    </w:p>
    <w:p>
      <w:pPr>
        <w:pStyle w:val="Normal"/>
        <w:rPr/>
      </w:pPr>
      <w:r>
        <w:rPr>
          <w:sz w:val="20"/>
        </w:rPr>
        <w:t xml:space="preserve">- Norscan </w:t>
      </w:r>
      <w:r>
        <w:rPr>
          <w:b/>
          <w:bCs/>
          <w:sz w:val="20"/>
        </w:rPr>
        <w:t>production</w:t>
      </w:r>
      <w:r>
        <w:rPr>
          <w:sz w:val="20"/>
        </w:rPr>
        <w:t xml:space="preserve"> increased by 90,000 tonnes from the June level but dropped 306,000 tonnes from last July to 1,748,000 tonnes. This amounted to an </w:t>
      </w:r>
      <w:r>
        <w:rPr>
          <w:b/>
          <w:bCs/>
          <w:sz w:val="20"/>
        </w:rPr>
        <w:t>operating rate</w:t>
      </w:r>
      <w:r>
        <w:rPr>
          <w:sz w:val="20"/>
        </w:rPr>
        <w:t xml:space="preserve"> of 85 percent, the lowest in 10 years since July 1991.</w:t>
      </w:r>
    </w:p>
    <w:p>
      <w:pPr>
        <w:pStyle w:val="BodyText"/>
        <w:rPr/>
      </w:pPr>
      <w:r>
        <w:rPr/>
        <w:t xml:space="preserve">-Norscan July </w:t>
      </w:r>
      <w:r>
        <w:rPr>
          <w:b/>
          <w:bCs/>
        </w:rPr>
        <w:t>shipments</w:t>
      </w:r>
      <w:r>
        <w:rPr/>
        <w:t xml:space="preserve"> managed to increase by 10,000 tonnes to 1,743,000 tonnes from the June level, but dropped by 124,000 tons  compared to the same month last year.</w:t>
      </w:r>
    </w:p>
    <w:p>
      <w:pPr>
        <w:pStyle w:val="Normal"/>
        <w:rPr>
          <w:sz w:val="20"/>
        </w:rPr>
      </w:pPr>
      <w:r>
        <w:rPr>
          <w:sz w:val="20"/>
        </w:rPr>
      </w:r>
    </w:p>
    <w:p>
      <w:pPr>
        <w:pStyle w:val="Normal"/>
        <w:rPr/>
      </w:pPr>
      <w:r>
        <w:rPr>
          <w:b/>
          <w:bCs/>
          <w:sz w:val="20"/>
        </w:rPr>
        <w:t>Price.</w:t>
      </w:r>
      <w:r>
        <w:rPr>
          <w:sz w:val="20"/>
        </w:rPr>
        <w:t xml:space="preserve">The pulp market continued to show weakness in the prices especially for the soft grades. This week the NBSK PIX pulp benchmark price on the Finnish Options Exchange fell this week to US$457.58 down US$2.24 (0.49%) from last week. The BHKP benchmark price for Euca/Birch came in at $398.45, up $1.64 (0.4%) from last week. </w:t>
      </w:r>
    </w:p>
    <w:p>
      <w:pPr>
        <w:pStyle w:val="Normal"/>
        <w:rPr>
          <w:sz w:val="20"/>
        </w:rPr>
      </w:pPr>
      <w:r>
        <w:rPr>
          <w:sz w:val="20"/>
        </w:rPr>
      </w:r>
    </w:p>
    <w:p>
      <w:pPr>
        <w:pStyle w:val="Normal"/>
        <w:rPr/>
      </w:pPr>
      <w:r>
        <w:rPr>
          <w:b/>
          <w:bCs/>
          <w:sz w:val="20"/>
        </w:rPr>
        <w:t>Market Conditions.</w:t>
      </w:r>
      <w:r>
        <w:rPr>
          <w:sz w:val="20"/>
        </w:rPr>
        <w:t xml:space="preserve"> This week’s market conditions were very similar to those of a couple of weeks ago when hardwood prices showed tentative signs of market recovery. The question that is on everyone’s mind is: Are we at the inflection point yet? It is very hard to say. Given this week’s price increase in the hardwoods and decelerating rate of decrease in the price of softwoods the answer is maybe. But this is not the only reason why most market analysts believe that recovery is just around the corner. The market pulp appears very well positioned for a turnaround for four main reasons:</w:t>
      </w:r>
    </w:p>
    <w:p>
      <w:pPr>
        <w:pStyle w:val="Normal"/>
        <w:rPr/>
      </w:pPr>
      <w:r>
        <w:rPr>
          <w:sz w:val="20"/>
        </w:rPr>
        <w:t xml:space="preserve">- First, the successful effort taken by the producers </w:t>
      </w:r>
      <w:r>
        <w:rPr>
          <w:i/>
          <w:iCs/>
          <w:sz w:val="20"/>
        </w:rPr>
        <w:t>in reducing the production levels to match supply with demand</w:t>
      </w:r>
      <w:r>
        <w:rPr>
          <w:sz w:val="20"/>
        </w:rPr>
        <w:t xml:space="preserve"> has been the most encouraging sign. From the table below one can see that the burden of downtime fell mostly on the Canadian mills, which are the highest cash cost producers.  This producer discipline brought about an optimistic operating rate of 85 percent, the lowest in 10 years. The picture remains bright for August as well when downtime announcements have exceeded July levels.</w:t>
      </w:r>
    </w:p>
    <w:p>
      <w:pPr>
        <w:pStyle w:val="BodyText"/>
        <w:rPr/>
      </w:pPr>
      <w:r>
        <w:rPr/>
        <w:t xml:space="preserve">- Second, UTIPULP inventories have reached low levels and European consumers should begin to restock as recovery expectations increase. </w:t>
      </w:r>
    </w:p>
    <w:p>
      <w:pPr>
        <w:pStyle w:val="Normal"/>
        <w:rPr>
          <w:sz w:val="20"/>
        </w:rPr>
      </w:pPr>
      <w:r>
        <w:rPr>
          <w:sz w:val="20"/>
        </w:rPr>
        <w:t xml:space="preserve">-Third, according to market analysts demand has begun to pick up across all regions. This will mostly benefit the Brazilian producers who are already seeing an improvement in demand from the European buyers. Europeans are beginning to fill their contracts in full for the first time in seven months now. </w:t>
      </w:r>
    </w:p>
    <w:p>
      <w:pPr>
        <w:pStyle w:val="Normal"/>
        <w:rPr>
          <w:sz w:val="20"/>
        </w:rPr>
      </w:pPr>
      <w:r>
        <w:rPr>
          <w:sz w:val="20"/>
        </w:rPr>
        <w:t xml:space="preserve">- Four, the chart below shows a very important relationship between shipments/inventory ratio and NBSK price. Historically we all know that when S/I ratio reaches 1 it signals a price recovery in NBSK. From the graph below one can see that the S/I ratio has been increasing since the beginning of this year and it seems to be approaching 1. </w:t>
      </w:r>
    </w:p>
    <w:p>
      <w:pPr>
        <w:pStyle w:val="Normal"/>
        <w:rPr>
          <w:sz w:val="20"/>
        </w:rPr>
      </w:pPr>
      <w:r>
        <w:rPr>
          <w:sz w:val="20"/>
        </w:rPr>
        <w:t>Despite the market optimism triggered by the above factors we need to show some caution. Our basic forecast is based on a strong belief that demand will pick up as consumers will start to restock their inventories. But we have to bear in mind that the conditions in the economy are not at healthy levels yet and if they do not improve the inventory restocking might be short-lived. The more permanent recovery in the global markets coupled with a weakening dollar will help sustain the price recovery.</w:t>
      </w:r>
    </w:p>
    <w:p>
      <w:pPr>
        <w:pStyle w:val="Normal"/>
        <w:rPr>
          <w:sz w:val="20"/>
        </w:rPr>
      </w:pPr>
      <w:r>
        <w:rPr>
          <w:sz w:val="20"/>
        </w:rPr>
        <w:t xml:space="preserve"> </w: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3195955</wp:posOffset>
                </wp:positionH>
                <wp:positionV relativeFrom="paragraph">
                  <wp:posOffset>116840</wp:posOffset>
                </wp:positionV>
                <wp:extent cx="3639185" cy="2261870"/>
                <wp:effectExtent l="0" t="0" r="0" b="0"/>
                <wp:wrapNone/>
                <wp:docPr id="2" name="Frame2"/>
                <a:graphic xmlns:a="http://schemas.openxmlformats.org/drawingml/2006/main">
                  <a:graphicData uri="http://schemas.microsoft.com/office/word/2010/wordprocessingShape">
                    <wps:wsp>
                      <wps:cNvSpPr txBox="1"/>
                      <wps:spPr>
                        <a:xfrm>
                          <a:off x="0" y="0"/>
                          <a:ext cx="3639185" cy="2261870"/>
                        </a:xfrm>
                        <a:prstGeom prst="rect"/>
                        <a:solidFill>
                          <a:srgbClr val="FFFFFF"/>
                        </a:solidFill>
                        <a:ln w="9525">
                          <a:solidFill>
                            <a:srgbClr val="000000"/>
                          </a:solidFill>
                        </a:ln>
                      </wps:spPr>
                      <wps:txbx>
                        <w:txbxContent>
                          <w:p>
                            <w:pPr>
                              <w:pStyle w:val="Normal"/>
                              <w:rPr/>
                            </w:pPr>
                            <w:r>
                              <w:rPr/>
                              <w:object w:dxaOrig="5121" w:dyaOrig="3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0.7pt;height:169.45pt" filled="f" o:ole="">
                                  <v:imagedata r:id="rId3" o:title=""/>
                                </v:shape>
                                <o:OLEObject Type="Embed" ProgID="Excel.Sheet.12" ShapeID="ole_rId2" DrawAspect="Content" ObjectID="_1980144705"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86.55pt;height:178.1pt;mso-wrap-distance-left:9.05pt;mso-wrap-distance-right:9.05pt;mso-wrap-distance-top:0pt;mso-wrap-distance-bottom:0pt;margin-top:9.2pt;mso-position-vertical-relative:text;margin-left:251.65pt;mso-position-horizontal-relative:text">
                <v:textbox>
                  <w:txbxContent>
                    <w:p>
                      <w:pPr>
                        <w:pStyle w:val="Normal"/>
                        <w:rPr/>
                      </w:pPr>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70.7pt;height:169.45pt" filled="f" o:ole="">
                            <v:imagedata r:id="rId5" o:title=""/>
                          </v:shape>
                          <o:OLEObject Type="Embed" ProgID="Excel.Sheet.12" ShapeID="ole_rId4" DrawAspect="Content" ObjectID="_876464903" r:id="rId4"/>
                        </w:object>
                      </w:r>
                    </w:p>
                  </w:txbxContent>
                </v:textbox>
                <w10:wrap type="none"/>
              </v:rect>
            </w:pict>
          </mc:Fallback>
        </mc:AlternateContent>
      </w:r>
    </w:p>
    <w:p>
      <w:pPr>
        <w:pStyle w:val="Heading8"/>
        <w:ind w:hanging="0" w:start="0"/>
        <w:rPr/>
      </w:pPr>
      <w:r>
        <w:rPr/>
        <w:t xml:space="preserve">    </w:t>
      </w:r>
      <w:r>
        <w:rPr/>
        <w:t>PPPC Chemical Market Pulp Statistics</w:t>
      </w:r>
    </w:p>
    <w:tbl>
      <w:tblPr>
        <w:tblW w:w="4155" w:type="dxa"/>
        <w:jc w:val="start"/>
        <w:tblInd w:w="0" w:type="dxa"/>
        <w:tblLayout w:type="fixed"/>
        <w:tblCellMar>
          <w:top w:w="15" w:type="dxa"/>
          <w:start w:w="15" w:type="dxa"/>
          <w:bottom w:w="0" w:type="dxa"/>
          <w:end w:w="15" w:type="dxa"/>
        </w:tblCellMar>
      </w:tblPr>
      <w:tblGrid>
        <w:gridCol w:w="1095"/>
        <w:gridCol w:w="540"/>
        <w:gridCol w:w="540"/>
        <w:gridCol w:w="720"/>
        <w:gridCol w:w="540"/>
        <w:gridCol w:w="720"/>
      </w:tblGrid>
      <w:tr>
        <w:trPr>
          <w:trHeight w:val="415" w:hRule="atLeast"/>
        </w:trPr>
        <w:tc>
          <w:tcPr>
            <w:tcW w:w="1095" w:type="dxa"/>
            <w:tcBorders>
              <w:top w:val="single" w:sz="8" w:space="0" w:color="000000"/>
              <w:start w:val="single" w:sz="8" w:space="0" w:color="000000"/>
              <w:bottom w:val="single" w:sz="4" w:space="0" w:color="000000"/>
            </w:tcBorders>
            <w:shd w:fill="00CCFF" w:val="clear"/>
            <w:vAlign w:val="bottom"/>
          </w:tcPr>
          <w:p>
            <w:pPr>
              <w:pStyle w:val="Normal"/>
              <w:rPr>
                <w:rFonts w:ascii="Arial" w:hAnsi="Arial" w:cs="Arial"/>
                <w:b/>
                <w:bCs/>
                <w:sz w:val="14"/>
                <w:szCs w:val="12"/>
              </w:rPr>
            </w:pPr>
            <w:r>
              <w:rPr>
                <w:rFonts w:cs="Arial" w:ascii="Arial" w:hAnsi="Arial"/>
                <w:b/>
                <w:bCs/>
                <w:sz w:val="14"/>
                <w:szCs w:val="12"/>
              </w:rPr>
              <w:t>000 tonnes</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Canada</w:t>
            </w:r>
          </w:p>
        </w:tc>
        <w:tc>
          <w:tcPr>
            <w:tcW w:w="540" w:type="dxa"/>
            <w:tcBorders>
              <w:top w:val="single" w:sz="8" w:space="0" w:color="000000"/>
              <w:bottom w:val="single" w:sz="4" w:space="0" w:color="000000"/>
            </w:tcBorders>
            <w:shd w:fill="00CCFF" w:val="clear"/>
            <w:vAlign w:val="bottom"/>
          </w:tcPr>
          <w:p>
            <w:pPr>
              <w:pStyle w:val="Heading7"/>
              <w:ind w:hanging="0" w:start="0"/>
              <w:rPr>
                <w:rFonts w:ascii="Arial" w:hAnsi="Arial" w:cs="Arial"/>
                <w:szCs w:val="16"/>
              </w:rPr>
            </w:pPr>
            <w:r>
              <w:rPr>
                <w:rFonts w:cs="Arial" w:ascii="Arial" w:hAnsi="Arial"/>
                <w:szCs w:val="16"/>
              </w:rPr>
              <w:t>US</w:t>
            </w:r>
          </w:p>
        </w:tc>
        <w:tc>
          <w:tcPr>
            <w:tcW w:w="72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Sweden</w:t>
            </w:r>
          </w:p>
        </w:tc>
        <w:tc>
          <w:tcPr>
            <w:tcW w:w="540" w:type="dxa"/>
            <w:tcBorders>
              <w:top w:val="single" w:sz="8" w:space="0" w:color="000000"/>
              <w:bottom w:val="single" w:sz="4"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Finland</w:t>
            </w:r>
          </w:p>
        </w:tc>
        <w:tc>
          <w:tcPr>
            <w:tcW w:w="720" w:type="dxa"/>
            <w:tcBorders>
              <w:top w:val="single" w:sz="8" w:space="0" w:color="000000"/>
              <w:bottom w:val="single" w:sz="4" w:space="0" w:color="000000"/>
              <w:end w:val="single" w:sz="8" w:space="0" w:color="000000"/>
            </w:tcBorders>
            <w:shd w:fill="00CCFF" w:val="clear"/>
            <w:vAlign w:val="bottom"/>
          </w:tcPr>
          <w:p>
            <w:pPr>
              <w:pStyle w:val="Normal"/>
              <w:rPr>
                <w:rFonts w:ascii="Arial" w:hAnsi="Arial" w:cs="Arial"/>
                <w:b/>
                <w:bCs/>
                <w:sz w:val="14"/>
                <w:szCs w:val="16"/>
              </w:rPr>
            </w:pPr>
            <w:r>
              <w:rPr>
                <w:rFonts w:cs="Arial" w:ascii="Arial" w:hAnsi="Arial"/>
                <w:b/>
                <w:bCs/>
                <w:sz w:val="14"/>
                <w:szCs w:val="16"/>
              </w:rPr>
              <w:t>Norscan</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20"/>
              </w:rPr>
            </w:pPr>
            <w:r>
              <w:rPr>
                <w:rFonts w:eastAsia="Arial" w:cs="Arial" w:ascii="Arial" w:hAnsi="Arial"/>
                <w:sz w:val="14"/>
                <w:szCs w:val="20"/>
              </w:rPr>
              <w:t xml:space="preserve"> </w:t>
            </w: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540" w:type="dxa"/>
            <w:tcBorders>
              <w:bottom w:val="single" w:sz="4" w:space="0" w:color="000000"/>
              <w:end w:val="single" w:sz="4" w:space="0" w:color="000000"/>
            </w:tcBorders>
            <w:shd w:fill="CCFFFF" w:val="clear"/>
            <w:vAlign w:val="bottom"/>
          </w:tcPr>
          <w:p>
            <w:pPr>
              <w:pStyle w:val="Normal"/>
              <w:rPr>
                <w:rFonts w:ascii="Arial" w:hAnsi="Arial" w:cs="Arial"/>
                <w:sz w:val="14"/>
                <w:szCs w:val="20"/>
              </w:rPr>
            </w:pPr>
            <w:r>
              <w:rPr>
                <w:rFonts w:cs="Arial" w:ascii="Arial" w:hAnsi="Arial"/>
                <w:sz w:val="14"/>
                <w:szCs w:val="20"/>
              </w:rPr>
              <w:t> </w:t>
            </w:r>
          </w:p>
        </w:tc>
        <w:tc>
          <w:tcPr>
            <w:tcW w:w="720" w:type="dxa"/>
            <w:tcBorders>
              <w:bottom w:val="single" w:sz="4" w:space="0" w:color="000000"/>
              <w:end w:val="single" w:sz="8" w:space="0" w:color="000000"/>
            </w:tcBorders>
            <w:shd w:fill="CCFFFF" w:val="clear"/>
            <w:vAlign w:val="bottom"/>
          </w:tcPr>
          <w:p>
            <w:pPr>
              <w:pStyle w:val="Normal"/>
              <w:rPr>
                <w:rFonts w:ascii="Arial" w:hAnsi="Arial" w:cs="Arial"/>
                <w:b/>
                <w:bCs/>
                <w:sz w:val="14"/>
                <w:szCs w:val="20"/>
              </w:rPr>
            </w:pPr>
            <w:r>
              <w:rPr>
                <w:rFonts w:cs="Arial" w:ascii="Arial" w:hAnsi="Arial"/>
                <w:b/>
                <w:bCs/>
                <w:sz w:val="14"/>
                <w:szCs w:val="20"/>
              </w:rPr>
              <w:t> </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eastAsia="Arial" w:cs="Arial" w:ascii="Arial" w:hAnsi="Arial"/>
                <w:sz w:val="14"/>
                <w:szCs w:val="16"/>
              </w:rPr>
              <w:t xml:space="preserve">  </w:t>
            </w:r>
            <w:r>
              <w:rPr>
                <w:rFonts w:cs="Arial" w:ascii="Arial" w:hAnsi="Arial"/>
                <w:sz w:val="14"/>
                <w:szCs w:val="16"/>
              </w:rPr>
              <w:t>Op. Inventory</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826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502</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367</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85</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1,780</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mc:AlternateContent>
                <mc:Choice Requires="wps">
                  <w:drawing>
                    <wp:anchor behindDoc="0" distT="0" distB="0" distL="114935" distR="114935" simplePos="0" locked="0" layoutInCell="0" allowOverlap="1" relativeHeight="7">
                      <wp:simplePos x="0" y="0"/>
                      <wp:positionH relativeFrom="margin">
                        <wp:posOffset>6172200</wp:posOffset>
                      </wp:positionH>
                      <wp:positionV relativeFrom="paragraph">
                        <wp:posOffset>184785</wp:posOffset>
                      </wp:positionV>
                      <wp:extent cx="457200" cy="342900"/>
                      <wp:effectExtent l="5080" t="5080" r="5715" b="5715"/>
                      <wp:wrapNone/>
                      <wp:docPr id="3" name=""/>
                      <a:graphic xmlns:a="http://schemas.openxmlformats.org/drawingml/2006/main">
                        <a:graphicData uri="http://schemas.microsoft.com/office/word/2010/wordprocessingShape">
                          <wps:wsp>
                            <wps:cNvSpPr/>
                            <wps:spPr>
                              <a:xfrm>
                                <a:off x="0" y="0"/>
                                <a:ext cx="457200" cy="34308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486pt;margin-top:14.55pt;width:35.95pt;height:26.95pt;mso-wrap-style:none;v-text-anchor:middle;mso-position-horizontal-relative:margin">
                      <v:fill o:detectmouseclick="t" on="false"/>
                      <v:stroke color="black" weight="9360" joinstyle="miter" endcap="flat"/>
                      <w10:wrap type="none"/>
                    </v:oval>
                  </w:pict>
                </mc:Fallback>
              </mc:AlternateContent>
            </w:r>
            <w:r>
              <w:rPr>
                <w:rFonts w:cs="Arial" w:ascii="Arial" w:hAnsi="Arial"/>
                <w:sz w:val="14"/>
                <w:szCs w:val="16"/>
              </w:rPr>
              <w:t>Production</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672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636</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276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164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1,748</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Shipments</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708</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623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262</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150</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1,743</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Clos. Inventory</w:t>
            </w:r>
            <w:r>
              <mc:AlternateContent>
                <mc:Choice Requires="wps">
                  <w:drawing>
                    <wp:anchor behindDoc="0" distT="0" distB="0" distL="114935" distR="114935" simplePos="0" locked="0" layoutInCell="0" allowOverlap="1" relativeHeight="9">
                      <wp:simplePos x="0" y="0"/>
                      <wp:positionH relativeFrom="margin">
                        <wp:posOffset>5257800</wp:posOffset>
                      </wp:positionH>
                      <wp:positionV relativeFrom="paragraph">
                        <wp:posOffset>184785</wp:posOffset>
                      </wp:positionV>
                      <wp:extent cx="800100" cy="342900"/>
                      <wp:effectExtent l="0" t="0" r="0" b="0"/>
                      <wp:wrapNone/>
                      <wp:docPr id="4" name="Frame3"/>
                      <a:graphic xmlns:a="http://schemas.openxmlformats.org/drawingml/2006/main">
                        <a:graphicData uri="http://schemas.microsoft.com/office/word/2010/wordprocessingShape">
                          <wps:wsp>
                            <wps:cNvSpPr txBox="1"/>
                            <wps:spPr>
                              <a:xfrm>
                                <a:off x="0" y="0"/>
                                <a:ext cx="800100" cy="342900"/>
                              </a:xfrm>
                              <a:prstGeom prst="rect"/>
                              <a:solidFill>
                                <a:srgbClr val="FFFFFF">
                                  <a:alpha val="0"/>
                                </a:srgbClr>
                              </a:solidFill>
                            </wps:spPr>
                            <wps:txbx>
                              <w:txbxContent>
                                <w:p>
                                  <w:pPr>
                                    <w:pStyle w:val="Normal"/>
                                    <w:rPr>
                                      <w:sz w:val="16"/>
                                    </w:rPr>
                                  </w:pPr>
                                  <w:r>
                                    <w:rPr>
                                      <w:sz w:val="16"/>
                                    </w:rPr>
                                    <w:t>July S/I = 0.97</w:t>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14.55pt;mso-position-vertical-relative:text;margin-left:414pt;mso-position-horizontal-relative:margin">
                      <v:fill opacity="0f"/>
                      <v:textbox inset="0.100694444444444in,0.0506944444444444in,0.100694444444444in,0.0506944444444444in">
                        <w:txbxContent>
                          <w:p>
                            <w:pPr>
                              <w:pStyle w:val="Normal"/>
                              <w:rPr>
                                <w:sz w:val="16"/>
                              </w:rPr>
                            </w:pPr>
                            <w:r>
                              <w:rPr>
                                <w:sz w:val="16"/>
                              </w:rPr>
                              <w:t>July S/I = 0.97</w:t>
                            </w:r>
                          </w:p>
                        </w:txbxContent>
                      </v:textbox>
                      <w10:wrap type="none"/>
                    </v:rect>
                  </w:pict>
                </mc:Fallback>
              </mc:AlternateConten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790</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515</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381</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99</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mc:AlternateContent>
                <mc:Choice Requires="wps">
                  <w:drawing>
                    <wp:anchor behindDoc="0" distT="0" distB="0" distL="114935" distR="114935" simplePos="0" locked="0" layoutInCell="0" allowOverlap="1" relativeHeight="8">
                      <wp:simplePos x="0" y="0"/>
                      <wp:positionH relativeFrom="margin">
                        <wp:posOffset>6057900</wp:posOffset>
                      </wp:positionH>
                      <wp:positionV relativeFrom="paragraph">
                        <wp:posOffset>70485</wp:posOffset>
                      </wp:positionV>
                      <wp:extent cx="228600" cy="114300"/>
                      <wp:effectExtent l="0" t="4445" r="2540" b="635"/>
                      <wp:wrapNone/>
                      <wp:docPr id="5" name=""/>
                      <a:graphic xmlns:a="http://schemas.openxmlformats.org/drawingml/2006/main">
                        <a:graphicData uri="http://schemas.microsoft.com/office/word/2010/wordprocessingShape">
                          <wps:wsp>
                            <wps:cNvSpPr/>
                            <wps:spPr>
                              <a:xfrm flipH="1">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77pt,5.55pt" to="494.95pt,14.5pt" stroked="t" o:allowincell="f" style="position:absolute;flip:x;mso-position-horizontal-relative:margin">
                      <v:stroke color="black" weight="9360" endarrow="block" endarrowwidth="medium" endarrowlength="medium" joinstyle="miter" endcap="flat"/>
                      <v:fill o:detectmouseclick="t" on="false"/>
                      <w10:wrap type="none"/>
                    </v:line>
                  </w:pict>
                </mc:Fallback>
              </mc:AlternateContent>
            </w:r>
            <w:r>
              <w:rPr>
                <w:rFonts w:cs="Arial" w:ascii="Arial" w:hAnsi="Arial"/>
                <w:b/>
                <w:bCs/>
                <w:sz w:val="14"/>
                <w:szCs w:val="16"/>
              </w:rPr>
              <w:t>1,785</w:t>
            </w:r>
          </w:p>
        </w:tc>
      </w:tr>
      <w:tr>
        <w:trPr>
          <w:trHeight w:val="345" w:hRule="atLeast"/>
        </w:trPr>
        <w:tc>
          <w:tcPr>
            <w:tcW w:w="1095"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Inventory Chg</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-36</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13</w:t>
            </w:r>
          </w:p>
        </w:tc>
        <w:tc>
          <w:tcPr>
            <w:tcW w:w="72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540" w:type="dxa"/>
            <w:tcBorders>
              <w:bottom w:val="single" w:sz="4"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14</w:t>
            </w:r>
          </w:p>
        </w:tc>
        <w:tc>
          <w:tcPr>
            <w:tcW w:w="720" w:type="dxa"/>
            <w:tcBorders>
              <w:bottom w:val="single" w:sz="4"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5</w:t>
            </w:r>
          </w:p>
        </w:tc>
      </w:tr>
      <w:tr>
        <w:trPr>
          <w:trHeight w:val="345" w:hRule="atLeast"/>
        </w:trPr>
        <w:tc>
          <w:tcPr>
            <w:tcW w:w="1095"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cs="Arial"/>
                <w:sz w:val="14"/>
                <w:szCs w:val="16"/>
              </w:rPr>
            </w:pPr>
            <w:r>
              <w:rPr>
                <w:rFonts w:cs="Arial" w:ascii="Arial" w:hAnsi="Arial"/>
                <w:sz w:val="14"/>
                <w:szCs w:val="16"/>
              </w:rPr>
              <w:t>Op. Rate</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81%</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88%</w:t>
            </w:r>
          </w:p>
        </w:tc>
        <w:tc>
          <w:tcPr>
            <w:tcW w:w="72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540" w:type="dxa"/>
            <w:tcBorders>
              <w:bottom w:val="single" w:sz="8" w:space="0" w:color="000000"/>
              <w:end w:val="single" w:sz="4" w:space="0" w:color="000000"/>
            </w:tcBorders>
            <w:shd w:fill="CCFFFF" w:val="clear"/>
            <w:vAlign w:val="bottom"/>
          </w:tcPr>
          <w:p>
            <w:pPr>
              <w:pStyle w:val="Normal"/>
              <w:jc w:val="center"/>
              <w:rPr>
                <w:rFonts w:ascii="Arial" w:hAnsi="Arial" w:cs="Arial"/>
                <w:sz w:val="14"/>
                <w:szCs w:val="16"/>
              </w:rPr>
            </w:pPr>
            <w:r>
              <w:rPr>
                <w:rFonts w:cs="Arial" w:ascii="Arial" w:hAnsi="Arial"/>
                <w:sz w:val="14"/>
                <w:szCs w:val="16"/>
              </w:rPr>
              <w:t>86%</w:t>
            </w:r>
          </w:p>
        </w:tc>
        <w:tc>
          <w:tcPr>
            <w:tcW w:w="720" w:type="dxa"/>
            <w:tcBorders>
              <w:bottom w:val="single" w:sz="8" w:space="0" w:color="000000"/>
              <w:end w:val="single" w:sz="8" w:space="0" w:color="000000"/>
            </w:tcBorders>
            <w:shd w:fill="CCFFFF" w:val="clear"/>
            <w:vAlign w:val="bottom"/>
          </w:tcPr>
          <w:p>
            <w:pPr>
              <w:pStyle w:val="Normal"/>
              <w:jc w:val="center"/>
              <w:rPr>
                <w:rFonts w:ascii="Arial" w:hAnsi="Arial" w:cs="Arial"/>
                <w:b/>
                <w:bCs/>
                <w:sz w:val="14"/>
                <w:szCs w:val="16"/>
              </w:rPr>
            </w:pPr>
            <w:r>
              <w:rPr>
                <w:rFonts w:cs="Arial" w:ascii="Arial" w:hAnsi="Arial"/>
                <w:b/>
                <w:bCs/>
                <w:sz w:val="14"/>
                <w:szCs w:val="16"/>
              </w:rPr>
              <w:t>85%</w:t>
            </w:r>
          </w:p>
        </w:tc>
      </w:tr>
    </w:tbl>
    <w:p>
      <w:pPr>
        <w:pStyle w:val="Header"/>
        <w:tabs>
          <w:tab w:val="clear" w:pos="4320"/>
          <w:tab w:val="clear" w:pos="8640"/>
        </w:tabs>
        <w:autoSpaceDE w:val="false"/>
        <w:spacing w:before="100" w:after="100"/>
        <w:rPr>
          <w:i/>
          <w:i/>
          <w:iCs/>
          <w:sz w:val="14"/>
        </w:rPr>
      </w:pPr>
      <w:r>
        <w:rPr>
          <w:i/>
          <w:iCs/>
          <w:sz w:val="14"/>
        </w:rPr>
        <w:t>Source: Pulp and Paper Products Council</w:t>
      </w:r>
    </w:p>
    <w:p>
      <w:pPr>
        <w:pStyle w:val="Heading8"/>
        <w:ind w:hanging="0" w:start="0"/>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6"/>
      <w:footerReference w:type="default" r:id="rId7"/>
      <w:type w:val="nextPage"/>
      <w:pgSz w:w="12240" w:h="15840"/>
      <w:pgMar w:left="576"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1028700" cy="4381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2001-08-17T09:26:00Z</dcterms:created>
  <dc:creator>vsingh3</dc:creator>
  <dc:description/>
  <dc:language>en-CA</dc:language>
  <cp:lastModifiedBy>mcaushol</cp:lastModifiedBy>
  <cp:lastPrinted>2001-08-17T09:51:00Z</cp:lastPrinted>
  <dcterms:modified xsi:type="dcterms:W3CDTF">2001-08-17T12:36:00Z</dcterms:modified>
  <cp:revision>44</cp:revision>
  <dc:subject/>
  <dc:title/>
</cp:coreProperties>
</file>