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Heading8"/>
        <w:spacing w:before="120" w:after="0"/>
        <w:ind w:hanging="0" w:start="0"/>
        <w:rPr>
          <w:sz w:val="24"/>
        </w:rPr>
      </w:pPr>
      <w:r>
        <w:rPr>
          <w:sz w:val="24"/>
        </w:rPr>
        <w:t>Supply Side News:</w:t>
      </w:r>
    </w:p>
    <w:p>
      <w:pPr>
        <w:pStyle w:val="Normal"/>
        <w:rPr>
          <w:sz w:val="24"/>
        </w:rPr>
      </w:pPr>
      <w:r>
        <w:rPr>
          <w:sz w:val="24"/>
        </w:rPr>
      </w:r>
    </w:p>
    <w:p>
      <w:pPr>
        <w:pStyle w:val="Normal"/>
        <w:rPr/>
      </w:pPr>
      <w:r>
        <w:rPr>
          <w:sz w:val="22"/>
        </w:rPr>
        <w:t xml:space="preserve">According to PPPC, Norscan market pulp </w:t>
      </w:r>
      <w:r>
        <w:rPr>
          <w:b/>
          <w:bCs/>
          <w:i/>
          <w:iCs/>
          <w:color w:val="333333"/>
          <w:sz w:val="22"/>
        </w:rPr>
        <w:t>inventories</w:t>
      </w:r>
      <w:r>
        <w:rPr>
          <w:sz w:val="22"/>
        </w:rPr>
        <w:t xml:space="preserve"> decreased 48,000 metric tons in October to reach slightly above the 1.5 million level. Historically, October market pulp inventory has seen an upward movement of a few thousand tons.</w:t>
      </w:r>
    </w:p>
    <w:p>
      <w:pPr>
        <w:pStyle w:val="Normal"/>
        <w:rPr/>
      </w:pPr>
      <w:r>
        <w:rPr>
          <w:sz w:val="22"/>
        </w:rPr>
        <w:t xml:space="preserve">Norscan </w:t>
      </w:r>
      <w:r>
        <w:rPr>
          <w:b/>
          <w:bCs/>
          <w:i/>
          <w:iCs/>
          <w:color w:val="333333"/>
          <w:sz w:val="22"/>
        </w:rPr>
        <w:t>shipments</w:t>
      </w:r>
      <w:r>
        <w:rPr>
          <w:sz w:val="22"/>
        </w:rPr>
        <w:t xml:space="preserve"> increased 7 percent in October and amounted to 1.9 million, their highest level since September 2000. Shipments were the main factor that contributed to the lowering of inventories in October. Demand was higher due to a strong pick up in the sales to North America and Western Europe. With significant decreases in the demand for market pulp throughout the year, consumer inventories in these regions were reaching below normal levels. Now we see these buyers refilling their stocks. In addition, shipments to Asia continued to be strong this month mainly due to higher Chinese paper and paperboard output, and to a lesser extent, consumer stockpiling. </w:t>
      </w:r>
    </w:p>
    <w:p>
      <w:pPr>
        <w:pStyle w:val="Normal"/>
        <w:rPr/>
      </w:pPr>
      <w:r>
        <w:rPr>
          <w:sz w:val="22"/>
        </w:rPr>
        <w:t xml:space="preserve">Norscan </w:t>
      </w:r>
      <w:r>
        <w:rPr>
          <w:b/>
          <w:bCs/>
          <w:i/>
          <w:iCs/>
          <w:color w:val="333333"/>
          <w:sz w:val="22"/>
        </w:rPr>
        <w:t>operating rate</w:t>
      </w:r>
      <w:r>
        <w:rPr>
          <w:sz w:val="22"/>
        </w:rPr>
        <w:t xml:space="preserve"> was 90 percent, up from the 79 percent in September. This represents a production level of 1.85 million metric tons, up 17 percent from last month. </w:t>
      </w:r>
      <w:r>
        <w:rPr>
          <w:sz w:val="20"/>
        </w:rPr>
        <w:t>(</w:t>
      </w:r>
      <w:r>
        <w:rPr>
          <w:i/>
          <w:iCs/>
          <w:sz w:val="20"/>
        </w:rPr>
        <w:t>Please see the table in next page for a summary of Norccan statistics).</w:t>
      </w:r>
    </w:p>
    <w:p>
      <w:pPr>
        <w:pStyle w:val="Normal"/>
        <w:rPr>
          <w:i/>
          <w:i/>
          <w:iCs/>
          <w:sz w:val="22"/>
        </w:rPr>
      </w:pPr>
      <w:r>
        <w:rPr>
          <w:i/>
          <w:iCs/>
          <w:sz w:val="22"/>
        </w:rPr>
      </w:r>
    </w:p>
    <w:p>
      <w:pPr>
        <w:pStyle w:val="Normal"/>
        <w:rPr>
          <w:sz w:val="22"/>
        </w:rPr>
      </w:pPr>
      <w:r>
        <w:rPr>
          <w:sz w:val="22"/>
        </w:rPr>
        <w:t>According to Valois Vision worldwide market pulp downtime in October amounted to 314,000 metric tons, down 100,000 metric tons from the previous month. In November, downtime is expected to be significantly lower and until now only 191,000 metric tons of downtime have been announced.</w:t>
      </w:r>
    </w:p>
    <w:p>
      <w:pPr>
        <w:pStyle w:val="Normal"/>
        <w:rPr>
          <w:sz w:val="22"/>
        </w:rPr>
      </w:pPr>
      <w:r>
        <w:rPr>
          <w:sz w:val="22"/>
        </w:rPr>
        <w:t xml:space="preserve"> </w:t>
      </w:r>
    </w:p>
    <w:p>
      <w:pPr>
        <w:pStyle w:val="Normal"/>
        <w:rPr>
          <w:b/>
          <w:bCs/>
        </w:rPr>
      </w:pPr>
      <w:r>
        <w:rPr>
          <w:b/>
          <w:bCs/>
        </w:rPr>
        <w:t xml:space="preserve">Demand Side News:  </w:t>
      </w:r>
    </w:p>
    <w:p>
      <w:pPr>
        <w:pStyle w:val="Normal"/>
        <w:rPr>
          <w:b/>
          <w:bCs/>
        </w:rPr>
      </w:pPr>
      <w:r>
        <w:rPr>
          <w:b/>
          <w:bCs/>
        </w:rPr>
      </w:r>
    </w:p>
    <w:p>
      <w:pPr>
        <w:pStyle w:val="Normal"/>
        <w:rPr>
          <w:sz w:val="22"/>
        </w:rPr>
      </w:pPr>
      <w:r>
        <w:rPr>
          <w:sz w:val="22"/>
        </w:rPr>
        <w:t>PPPC released the preliminary printing and writing statistics for October. The data contains only half of the reporting mills. Shipments for the printing and writing paper scored better than in September, but continued to be significantly lower than last year.</w:t>
      </w:r>
    </w:p>
    <w:p>
      <w:pPr>
        <w:pStyle w:val="Normal"/>
        <w:rPr/>
      </w:pPr>
      <w:r>
        <w:rPr>
          <w:b/>
          <w:bCs/>
          <w:i/>
          <w:iCs/>
          <w:color w:val="333333"/>
          <w:sz w:val="22"/>
        </w:rPr>
        <w:t>Uncoated freesheet</w:t>
      </w:r>
      <w:r>
        <w:rPr>
          <w:sz w:val="22"/>
        </w:rPr>
        <w:t xml:space="preserve"> shipments in October were 959,000 metric tons, up 8 percent from last month but down 8.4 percent compared to last October.</w:t>
      </w:r>
    </w:p>
    <w:p>
      <w:pPr>
        <w:pStyle w:val="Normal"/>
        <w:rPr/>
      </w:pPr>
      <w:r>
        <w:rPr>
          <w:b/>
          <w:bCs/>
          <w:i/>
          <w:iCs/>
          <w:color w:val="333333"/>
          <w:sz w:val="22"/>
        </w:rPr>
        <w:t>Coated freesheet</w:t>
      </w:r>
      <w:r>
        <w:rPr>
          <w:sz w:val="22"/>
        </w:rPr>
        <w:t xml:space="preserve"> shipments in October were 380,000, up only 1 percent from September, but down 10.4 percent from last year.</w:t>
      </w:r>
    </w:p>
    <w:p>
      <w:pPr>
        <w:pStyle w:val="Normal"/>
        <w:rPr/>
      </w:pPr>
      <w:r>
        <w:rPr>
          <w:b/>
          <w:bCs/>
          <w:i/>
          <w:iCs/>
          <w:color w:val="333333"/>
          <w:sz w:val="22"/>
        </w:rPr>
        <w:t>Coated groundwood</w:t>
      </w:r>
      <w:r>
        <w:rPr>
          <w:sz w:val="22"/>
        </w:rPr>
        <w:t xml:space="preserve"> shipments went up 6.6 percent this month to reach 380,000 level and were only 0.2 percent lower than last October.</w:t>
      </w:r>
    </w:p>
    <w:p>
      <w:pPr>
        <w:pStyle w:val="Normal"/>
        <w:rPr/>
      </w:pPr>
      <w:r>
        <w:rPr>
          <w:b/>
          <w:bCs/>
          <w:i/>
          <w:iCs/>
          <w:color w:val="333333"/>
          <w:sz w:val="22"/>
        </w:rPr>
        <w:t>Uncoated groundwood</w:t>
      </w:r>
      <w:r>
        <w:rPr>
          <w:sz w:val="22"/>
        </w:rPr>
        <w:t xml:space="preserve"> shipments fell significantly in October, down 15 percent from the September level to 84,000 metric tons. Compared to last year shipments were down by 27 percent.</w:t>
      </w:r>
    </w:p>
    <w:p>
      <w:pPr>
        <w:pStyle w:val="Normal"/>
        <w:rPr>
          <w:sz w:val="22"/>
        </w:rPr>
      </w:pPr>
      <w:r>
        <w:rPr>
          <w:sz w:val="22"/>
        </w:rPr>
      </w:r>
    </w:p>
    <w:p>
      <w:pPr>
        <w:pStyle w:val="Normal"/>
        <w:rPr/>
      </w:pPr>
      <w:r>
        <w:rPr>
          <w:b/>
          <w:bCs/>
          <w:i/>
          <w:iCs/>
          <w:color w:val="333333"/>
          <w:sz w:val="22"/>
        </w:rPr>
        <w:t xml:space="preserve">Siam Paper </w:t>
      </w:r>
      <w:r>
        <w:rPr>
          <w:sz w:val="22"/>
        </w:rPr>
        <w:t xml:space="preserve">of Thailand will install a 100,000 metric tons/yr paper machine at its Sampran mill in. The installation is expected to be completed in June 2000, with trial runs following in July. </w:t>
      </w:r>
    </w:p>
    <w:p>
      <w:pPr>
        <w:pStyle w:val="Normal"/>
        <w:rPr>
          <w:sz w:val="22"/>
        </w:rPr>
      </w:pPr>
      <w:r>
        <w:rPr>
          <w:sz w:val="22"/>
        </w:rPr>
      </w:r>
    </w:p>
    <w:p>
      <w:pPr>
        <w:pStyle w:val="Header"/>
        <w:tabs>
          <w:tab w:val="clear" w:pos="4320"/>
          <w:tab w:val="clear" w:pos="8640"/>
        </w:tabs>
        <w:rPr/>
      </w:pPr>
      <w:r>
        <w:rPr>
          <w:b/>
          <w:bCs/>
          <w:i/>
          <w:iCs/>
          <w:color w:val="333333"/>
          <w:sz w:val="22"/>
        </w:rPr>
        <w:t>Lecta</w:t>
      </w:r>
      <w:r>
        <w:rPr>
          <w:sz w:val="22"/>
        </w:rPr>
        <w:t xml:space="preserve"> announced that it will take about 38,000 metric tons in market related downtime on its coated woodfree machines during November and December. This will bring the total downtime for the second half of the year to 90,000 metric tons, which represents about 15 percent of the company’s capacity.</w:t>
      </w:r>
    </w:p>
    <w:p>
      <w:pPr>
        <w:pStyle w:val="Header"/>
        <w:tabs>
          <w:tab w:val="clear" w:pos="4320"/>
          <w:tab w:val="clear" w:pos="8640"/>
        </w:tabs>
        <w:rPr>
          <w:sz w:val="22"/>
        </w:rPr>
      </w:pPr>
      <w:r>
        <w:rPr>
          <w:sz w:val="22"/>
        </w:rPr>
      </w:r>
    </w:p>
    <w:p>
      <w:pPr>
        <w:pStyle w:val="Header"/>
        <w:tabs>
          <w:tab w:val="clear" w:pos="4320"/>
          <w:tab w:val="clear" w:pos="8640"/>
        </w:tabs>
        <w:rPr>
          <w:b/>
          <w:bCs/>
        </w:rPr>
      </w:pPr>
      <w:r>
        <w:rPr>
          <w:b/>
          <w:bCs/>
        </w:rPr>
        <w:t>Price:</w:t>
      </w:r>
    </w:p>
    <w:p>
      <w:pPr>
        <w:pStyle w:val="Header"/>
        <w:tabs>
          <w:tab w:val="clear" w:pos="4320"/>
          <w:tab w:val="clear" w:pos="8640"/>
        </w:tabs>
        <w:rPr>
          <w:b/>
          <w:bCs/>
        </w:rPr>
      </w:pPr>
      <w:r>
        <w:rPr>
          <w:b/>
          <w:bCs/>
        </w:rPr>
      </w:r>
    </w:p>
    <w:p>
      <w:pPr>
        <w:pStyle w:val="Header"/>
        <w:tabs>
          <w:tab w:val="clear" w:pos="4320"/>
          <w:tab w:val="clear" w:pos="8640"/>
        </w:tabs>
        <w:rPr>
          <w:sz w:val="22"/>
        </w:rPr>
      </w:pPr>
      <w:r>
        <w:rPr>
          <w:sz w:val="22"/>
        </w:rPr>
        <w:t xml:space="preserve">Few developments in the price front this week. FOEX NBSK was US$467.72 up US$2.29 (0.5 %), while BHKP was 468.04 up Euro 2.02. In dollar term the price for BHKP was US$417.06, down US$ 3.49 from last week.  </w:t>
      </w:r>
    </w:p>
    <w:p>
      <w:pPr>
        <w:pStyle w:val="Header"/>
        <w:tabs>
          <w:tab w:val="clear" w:pos="4320"/>
          <w:tab w:val="clear" w:pos="8640"/>
        </w:tabs>
        <w:rPr>
          <w:sz w:val="22"/>
        </w:rPr>
      </w:pPr>
      <w:r>
        <w:rPr>
          <w:sz w:val="22"/>
        </w:rPr>
        <w:t>On the other hand, Mark Wilde from Deutsche Bank reports that NBSK prices edged up US$10/mton in November to reach a US$500/mton level, thus endorsing producers’ determination to raise prices.</w:t>
      </w:r>
    </w:p>
    <w:p>
      <w:pPr>
        <w:pStyle w:val="Header"/>
        <w:tabs>
          <w:tab w:val="clear" w:pos="4320"/>
          <w:tab w:val="clear" w:pos="8640"/>
        </w:tabs>
        <w:rPr>
          <w:sz w:val="22"/>
        </w:rPr>
      </w:pPr>
      <w:r>
        <w:rPr>
          <w:sz w:val="22"/>
        </w:rPr>
      </w:r>
    </w:p>
    <w:p>
      <w:pPr>
        <w:pStyle w:val="Header"/>
        <w:tabs>
          <w:tab w:val="clear" w:pos="4320"/>
          <w:tab w:val="clear" w:pos="8640"/>
        </w:tabs>
        <w:rPr>
          <w:sz w:val="22"/>
        </w:rPr>
      </w:pPr>
      <w:r>
        <w:rPr>
          <w:sz w:val="22"/>
        </w:rPr>
      </w:r>
    </w:p>
    <w:tbl>
      <w:tblPr>
        <w:tblW w:w="4420" w:type="dxa"/>
        <w:jc w:val="center"/>
        <w:tblInd w:w="0" w:type="dxa"/>
        <w:tblLayout w:type="fixed"/>
        <w:tblCellMar>
          <w:top w:w="17" w:type="dxa"/>
          <w:start w:w="17" w:type="dxa"/>
          <w:bottom w:w="0" w:type="dxa"/>
          <w:end w:w="17" w:type="dxa"/>
        </w:tblCellMar>
      </w:tblPr>
      <w:tblGrid>
        <w:gridCol w:w="995"/>
        <w:gridCol w:w="1085"/>
        <w:gridCol w:w="1185"/>
        <w:gridCol w:w="1155"/>
      </w:tblGrid>
      <w:tr>
        <w:trPr>
          <w:trHeight w:val="285" w:hRule="atLeast"/>
        </w:trPr>
        <w:tc>
          <w:tcPr>
            <w:tcW w:w="4420" w:type="dxa"/>
            <w:gridSpan w:val="4"/>
            <w:tcBorders>
              <w:top w:val="single" w:sz="8" w:space="0" w:color="000000"/>
              <w:start w:val="single" w:sz="8" w:space="0" w:color="000000"/>
              <w:end w:val="single" w:sz="8" w:space="0" w:color="000000"/>
            </w:tcBorders>
            <w:shd w:fill="FFFF99" w:val="clear"/>
            <w:vAlign w:val="bottom"/>
          </w:tcPr>
          <w:p>
            <w:pPr>
              <w:pStyle w:val="Normal"/>
              <w:rPr>
                <w:rFonts w:ascii="Arial" w:hAnsi="Arial" w:eastAsia="Arial Unicode MS" w:cs="Arial"/>
                <w:b/>
                <w:bCs/>
                <w:i/>
                <w:i/>
                <w:iCs/>
                <w:sz w:val="22"/>
                <w:szCs w:val="22"/>
              </w:rPr>
            </w:pPr>
            <w:r>
              <w:rPr>
                <w:rFonts w:cs="Arial" w:ascii="Arial" w:hAnsi="Arial"/>
                <w:b/>
                <w:bCs/>
                <w:i/>
                <w:iCs/>
                <w:sz w:val="22"/>
                <w:szCs w:val="22"/>
              </w:rPr>
              <w:t>Norscan   Market   Pulp   Statistics</w:t>
            </w:r>
          </w:p>
        </w:tc>
      </w:tr>
      <w:tr>
        <w:trPr>
          <w:trHeight w:val="255" w:hRule="atLeast"/>
        </w:trPr>
        <w:tc>
          <w:tcPr>
            <w:tcW w:w="995" w:type="dxa"/>
            <w:tcBorders>
              <w:start w:val="single" w:sz="8" w:space="0" w:color="000000"/>
            </w:tcBorders>
            <w:shd w:fill="FFFF99" w:val="clear"/>
            <w:vAlign w:val="bottom"/>
          </w:tcPr>
          <w:p>
            <w:pPr>
              <w:pStyle w:val="Normal"/>
              <w:rPr>
                <w:rFonts w:ascii="Arial" w:hAnsi="Arial" w:eastAsia="Arial Unicode MS" w:cs="Arial"/>
                <w:sz w:val="20"/>
                <w:szCs w:val="20"/>
              </w:rPr>
            </w:pPr>
            <w:r>
              <w:rPr>
                <w:rFonts w:cs="Arial" w:ascii="Arial" w:hAnsi="Arial"/>
                <w:sz w:val="20"/>
                <w:szCs w:val="20"/>
              </w:rPr>
              <w:t> </w:t>
            </w:r>
          </w:p>
        </w:tc>
        <w:tc>
          <w:tcPr>
            <w:tcW w:w="2270" w:type="dxa"/>
            <w:gridSpan w:val="2"/>
            <w:tcBorders/>
            <w:shd w:fill="FFFF99" w:val="clear"/>
            <w:vAlign w:val="bottom"/>
          </w:tcPr>
          <w:p>
            <w:pPr>
              <w:pStyle w:val="Normal"/>
              <w:rPr>
                <w:rFonts w:ascii="Arial" w:hAnsi="Arial" w:eastAsia="Arial Unicode MS" w:cs="Arial"/>
                <w:i/>
                <w:i/>
                <w:iCs/>
                <w:sz w:val="16"/>
                <w:szCs w:val="16"/>
              </w:rPr>
            </w:pPr>
            <w:r>
              <w:rPr>
                <w:rFonts w:cs="Arial" w:ascii="Arial" w:hAnsi="Arial"/>
                <w:i/>
                <w:iCs/>
                <w:sz w:val="16"/>
                <w:szCs w:val="16"/>
              </w:rPr>
              <w:t>in 000s of metric tons</w:t>
            </w:r>
          </w:p>
        </w:tc>
        <w:tc>
          <w:tcPr>
            <w:tcW w:w="1155" w:type="dxa"/>
            <w:tcBorders>
              <w:end w:val="single" w:sz="8" w:space="0" w:color="000000"/>
            </w:tcBorders>
            <w:shd w:fill="FFFF99" w:val="clear"/>
            <w:vAlign w:val="bottom"/>
          </w:tcPr>
          <w:p>
            <w:pPr>
              <w:pStyle w:val="Normal"/>
              <w:rPr>
                <w:rFonts w:ascii="Arial" w:hAnsi="Arial" w:eastAsia="Arial Unicode MS" w:cs="Arial"/>
                <w:sz w:val="20"/>
                <w:szCs w:val="20"/>
              </w:rPr>
            </w:pPr>
            <w:r>
              <w:rPr>
                <w:rFonts w:cs="Arial" w:ascii="Arial" w:hAnsi="Arial"/>
                <w:sz w:val="20"/>
                <w:szCs w:val="20"/>
              </w:rPr>
              <w:t> </w:t>
            </w:r>
          </w:p>
        </w:tc>
      </w:tr>
      <w:tr>
        <w:trPr>
          <w:trHeight w:val="270" w:hRule="atLeast"/>
        </w:trPr>
        <w:tc>
          <w:tcPr>
            <w:tcW w:w="995" w:type="dxa"/>
            <w:tcBorders>
              <w:start w:val="single" w:sz="8" w:space="0" w:color="000000"/>
              <w:bottom w:val="single" w:sz="8" w:space="0" w:color="000000"/>
            </w:tcBorders>
            <w:shd w:fill="FFFF99" w:val="clear"/>
            <w:vAlign w:val="bottom"/>
          </w:tcPr>
          <w:p>
            <w:pPr>
              <w:pStyle w:val="Normal"/>
              <w:rPr>
                <w:rFonts w:ascii="Arial" w:hAnsi="Arial" w:eastAsia="Arial Unicode MS" w:cs="Arial"/>
                <w:sz w:val="20"/>
                <w:szCs w:val="20"/>
              </w:rPr>
            </w:pPr>
            <w:r>
              <w:rPr>
                <w:rFonts w:cs="Arial" w:ascii="Arial" w:hAnsi="Arial"/>
                <w:sz w:val="20"/>
                <w:szCs w:val="20"/>
              </w:rPr>
              <w:t> </w:t>
            </w:r>
          </w:p>
        </w:tc>
        <w:tc>
          <w:tcPr>
            <w:tcW w:w="1085" w:type="dxa"/>
            <w:tcBorders>
              <w:bottom w:val="single" w:sz="8" w:space="0" w:color="000000"/>
            </w:tcBorders>
            <w:shd w:fill="FFFF99" w:val="clear"/>
            <w:vAlign w:val="bottom"/>
          </w:tcPr>
          <w:p>
            <w:pPr>
              <w:pStyle w:val="Normal"/>
              <w:jc w:val="end"/>
              <w:rPr>
                <w:rFonts w:ascii="Arial" w:hAnsi="Arial" w:eastAsia="Arial Unicode MS" w:cs="Arial"/>
                <w:sz w:val="16"/>
                <w:szCs w:val="16"/>
              </w:rPr>
            </w:pPr>
            <w:r>
              <w:rPr>
                <w:rFonts w:cs="Arial" w:ascii="Arial" w:hAnsi="Arial"/>
                <w:sz w:val="16"/>
                <w:szCs w:val="16"/>
              </w:rPr>
              <w:t>Sep-01</w:t>
            </w:r>
          </w:p>
        </w:tc>
        <w:tc>
          <w:tcPr>
            <w:tcW w:w="1185" w:type="dxa"/>
            <w:tcBorders>
              <w:bottom w:val="single" w:sz="8" w:space="0" w:color="000000"/>
            </w:tcBorders>
            <w:shd w:fill="FFFF99" w:val="clear"/>
            <w:vAlign w:val="bottom"/>
          </w:tcPr>
          <w:p>
            <w:pPr>
              <w:pStyle w:val="Normal"/>
              <w:jc w:val="end"/>
              <w:rPr>
                <w:rFonts w:ascii="Arial" w:hAnsi="Arial" w:eastAsia="Arial Unicode MS" w:cs="Arial"/>
                <w:sz w:val="16"/>
                <w:szCs w:val="16"/>
              </w:rPr>
            </w:pPr>
            <w:r>
              <w:rPr>
                <w:rFonts w:cs="Arial" w:ascii="Arial" w:hAnsi="Arial"/>
                <w:sz w:val="16"/>
                <w:szCs w:val="16"/>
              </w:rPr>
              <w:t>Oct-01</w:t>
            </w:r>
          </w:p>
        </w:tc>
        <w:tc>
          <w:tcPr>
            <w:tcW w:w="1155" w:type="dxa"/>
            <w:tcBorders>
              <w:bottom w:val="single" w:sz="8" w:space="0" w:color="000000"/>
              <w:end w:val="single" w:sz="8" w:space="0" w:color="000000"/>
            </w:tcBorders>
            <w:shd w:fill="FFFF99" w:val="clear"/>
            <w:vAlign w:val="bottom"/>
          </w:tcPr>
          <w:p>
            <w:pPr>
              <w:pStyle w:val="Normal"/>
              <w:jc w:val="end"/>
              <w:rPr>
                <w:rFonts w:ascii="Arial" w:hAnsi="Arial" w:eastAsia="Arial Unicode MS" w:cs="Arial"/>
                <w:sz w:val="16"/>
                <w:szCs w:val="16"/>
              </w:rPr>
            </w:pPr>
            <w:r>
              <w:rPr>
                <w:rFonts w:cs="Arial" w:ascii="Arial" w:hAnsi="Arial"/>
                <w:sz w:val="16"/>
                <w:szCs w:val="16"/>
              </w:rPr>
              <w:t>Change</w:t>
            </w:r>
          </w:p>
        </w:tc>
      </w:tr>
      <w:tr>
        <w:trPr>
          <w:trHeight w:val="315" w:hRule="atLeast"/>
        </w:trPr>
        <w:tc>
          <w:tcPr>
            <w:tcW w:w="995" w:type="dxa"/>
            <w:tcBorders>
              <w:start w:val="single" w:sz="8" w:space="0" w:color="000000"/>
            </w:tcBorders>
            <w:shd w:fill="FFFFFF" w:val="clear"/>
            <w:vAlign w:val="bottom"/>
          </w:tcPr>
          <w:p>
            <w:pPr>
              <w:pStyle w:val="Normal"/>
              <w:rPr>
                <w:rFonts w:ascii="Arial" w:hAnsi="Arial" w:eastAsia="Arial Unicode MS" w:cs="Arial"/>
                <w:b/>
                <w:bCs/>
                <w:sz w:val="16"/>
                <w:szCs w:val="16"/>
              </w:rPr>
            </w:pPr>
            <w:r>
              <w:rPr>
                <w:rFonts w:cs="Arial" w:ascii="Arial" w:hAnsi="Arial"/>
                <w:b/>
                <w:bCs/>
                <w:sz w:val="16"/>
                <w:szCs w:val="16"/>
              </w:rPr>
              <w:t>Inventories</w:t>
            </w:r>
          </w:p>
        </w:tc>
        <w:tc>
          <w:tcPr>
            <w:tcW w:w="1085" w:type="dxa"/>
            <w:tcBorders/>
            <w:shd w:fill="FFFFFF" w:val="clear"/>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1,549 </w:t>
            </w:r>
          </w:p>
        </w:tc>
        <w:tc>
          <w:tcPr>
            <w:tcW w:w="1185" w:type="dxa"/>
            <w:tcBorders/>
            <w:shd w:fill="FFFFFF" w:val="clear"/>
            <w:vAlign w:val="bottom"/>
          </w:tcPr>
          <w:p>
            <w:pPr>
              <w:pStyle w:val="Normal"/>
              <w:jc w:val="center"/>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1,501 </w:t>
            </w:r>
          </w:p>
        </w:tc>
        <w:tc>
          <w:tcPr>
            <w:tcW w:w="1155" w:type="dxa"/>
            <w:tcBorders>
              <w:end w:val="single" w:sz="8" w:space="0" w:color="000000"/>
            </w:tcBorders>
            <w:shd w:fill="FFFFFF" w:val="clear"/>
            <w:vAlign w:val="bottom"/>
          </w:tcPr>
          <w:p>
            <w:pPr>
              <w:pStyle w:val="Normal"/>
              <w:jc w:val="center"/>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(48)</w:t>
            </w:r>
          </w:p>
        </w:tc>
      </w:tr>
      <w:tr>
        <w:trPr>
          <w:trHeight w:val="300" w:hRule="atLeast"/>
        </w:trPr>
        <w:tc>
          <w:tcPr>
            <w:tcW w:w="995" w:type="dxa"/>
            <w:tcBorders>
              <w:start w:val="single" w:sz="8" w:space="0" w:color="000000"/>
            </w:tcBorders>
            <w:shd w:fill="FFFFFF" w:val="clear"/>
            <w:vAlign w:val="bottom"/>
          </w:tcPr>
          <w:p>
            <w:pPr>
              <w:pStyle w:val="Normal"/>
              <w:rPr>
                <w:rFonts w:ascii="Arial" w:hAnsi="Arial" w:eastAsia="Arial Unicode MS" w:cs="Arial"/>
                <w:b/>
                <w:bCs/>
                <w:sz w:val="16"/>
                <w:szCs w:val="16"/>
              </w:rPr>
            </w:pPr>
            <w:r>
              <w:rPr>
                <w:rFonts w:cs="Arial" w:ascii="Arial" w:hAnsi="Arial"/>
                <w:b/>
                <w:bCs/>
                <w:sz w:val="16"/>
                <w:szCs w:val="16"/>
              </w:rPr>
              <w:t>Op. Rates</w:t>
            </w:r>
          </w:p>
        </w:tc>
        <w:tc>
          <w:tcPr>
            <w:tcW w:w="1085" w:type="dxa"/>
            <w:tcBorders/>
            <w:shd w:fill="FFFFFF" w:val="clear"/>
            <w:vAlign w:val="bottom"/>
          </w:tcPr>
          <w:p>
            <w:pPr>
              <w:pStyle w:val="Normal"/>
              <w:jc w:val="center"/>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0.79 </w:t>
            </w:r>
          </w:p>
        </w:tc>
        <w:tc>
          <w:tcPr>
            <w:tcW w:w="1185" w:type="dxa"/>
            <w:tcBorders/>
            <w:shd w:fill="FFFFFF" w:val="clear"/>
            <w:vAlign w:val="bottom"/>
          </w:tcPr>
          <w:p>
            <w:pPr>
              <w:pStyle w:val="Normal"/>
              <w:jc w:val="center"/>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0.90 </w:t>
            </w:r>
          </w:p>
        </w:tc>
        <w:tc>
          <w:tcPr>
            <w:tcW w:w="1155" w:type="dxa"/>
            <w:tcBorders>
              <w:end w:val="single" w:sz="8" w:space="0" w:color="000000"/>
            </w:tcBorders>
            <w:shd w:fill="FFFFFF" w:val="clear"/>
            <w:vAlign w:val="bottom"/>
          </w:tcPr>
          <w:p>
            <w:pPr>
              <w:pStyle w:val="Normal"/>
              <w:jc w:val="center"/>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0.11 </w:t>
            </w:r>
          </w:p>
        </w:tc>
      </w:tr>
      <w:tr>
        <w:trPr>
          <w:trHeight w:val="285" w:hRule="atLeast"/>
        </w:trPr>
        <w:tc>
          <w:tcPr>
            <w:tcW w:w="995" w:type="dxa"/>
            <w:tcBorders>
              <w:start w:val="single" w:sz="8" w:space="0" w:color="000000"/>
            </w:tcBorders>
            <w:shd w:fill="FFFFFF" w:val="clear"/>
            <w:vAlign w:val="bottom"/>
          </w:tcPr>
          <w:p>
            <w:pPr>
              <w:pStyle w:val="Normal"/>
              <w:rPr>
                <w:rFonts w:ascii="Arial" w:hAnsi="Arial" w:eastAsia="Arial Unicode MS" w:cs="Arial"/>
                <w:b/>
                <w:bCs/>
                <w:sz w:val="16"/>
                <w:szCs w:val="16"/>
              </w:rPr>
            </w:pPr>
            <w:r>
              <w:rPr>
                <w:rFonts w:cs="Arial" w:ascii="Arial" w:hAnsi="Arial"/>
                <w:b/>
                <w:bCs/>
                <w:sz w:val="16"/>
                <w:szCs w:val="16"/>
              </w:rPr>
              <w:t>Production</w:t>
            </w:r>
          </w:p>
        </w:tc>
        <w:tc>
          <w:tcPr>
            <w:tcW w:w="1085" w:type="dxa"/>
            <w:tcBorders/>
            <w:shd w:fill="FFFFFF" w:val="clear"/>
            <w:vAlign w:val="bottom"/>
          </w:tcPr>
          <w:p>
            <w:pPr>
              <w:pStyle w:val="Normal"/>
              <w:jc w:val="center"/>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1,584 </w:t>
            </w:r>
          </w:p>
        </w:tc>
        <w:tc>
          <w:tcPr>
            <w:tcW w:w="1185" w:type="dxa"/>
            <w:tcBorders/>
            <w:shd w:fill="FFFFFF" w:val="clear"/>
            <w:vAlign w:val="bottom"/>
          </w:tcPr>
          <w:p>
            <w:pPr>
              <w:pStyle w:val="Normal"/>
              <w:jc w:val="center"/>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1,850 </w:t>
            </w:r>
          </w:p>
        </w:tc>
        <w:tc>
          <w:tcPr>
            <w:tcW w:w="1155" w:type="dxa"/>
            <w:tcBorders>
              <w:end w:val="single" w:sz="8" w:space="0" w:color="000000"/>
            </w:tcBorders>
            <w:shd w:fill="FFFFFF" w:val="clear"/>
            <w:vAlign w:val="bottom"/>
          </w:tcPr>
          <w:p>
            <w:pPr>
              <w:pStyle w:val="Normal"/>
              <w:jc w:val="center"/>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266 </w:t>
            </w:r>
          </w:p>
        </w:tc>
      </w:tr>
      <w:tr>
        <w:trPr>
          <w:trHeight w:val="330" w:hRule="atLeast"/>
        </w:trPr>
        <w:tc>
          <w:tcPr>
            <w:tcW w:w="995" w:type="dxa"/>
            <w:tcBorders>
              <w:start w:val="single" w:sz="8" w:space="0" w:color="000000"/>
              <w:bottom w:val="single" w:sz="8" w:space="0" w:color="000000"/>
            </w:tcBorders>
            <w:shd w:fill="FFFFFF" w:val="clear"/>
            <w:vAlign w:val="bottom"/>
          </w:tcPr>
          <w:p>
            <w:pPr>
              <w:pStyle w:val="Normal"/>
              <w:rPr>
                <w:rFonts w:ascii="Arial" w:hAnsi="Arial" w:eastAsia="Arial Unicode MS" w:cs="Arial"/>
                <w:b/>
                <w:bCs/>
                <w:sz w:val="16"/>
                <w:szCs w:val="16"/>
              </w:rPr>
            </w:pPr>
            <w:r>
              <w:rPr>
                <w:rFonts w:cs="Arial" w:ascii="Arial" w:hAnsi="Arial"/>
                <w:b/>
                <w:bCs/>
                <w:sz w:val="16"/>
                <w:szCs w:val="16"/>
              </w:rPr>
              <w:t>Shipments</w:t>
            </w:r>
          </w:p>
        </w:tc>
        <w:tc>
          <w:tcPr>
            <w:tcW w:w="1085" w:type="dxa"/>
            <w:tcBorders>
              <w:bottom w:val="single" w:sz="8" w:space="0" w:color="000000"/>
            </w:tcBorders>
            <w:shd w:fill="FFFFFF" w:val="clear"/>
            <w:vAlign w:val="bottom"/>
          </w:tcPr>
          <w:p>
            <w:pPr>
              <w:pStyle w:val="Normal"/>
              <w:jc w:val="center"/>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1,771 </w:t>
            </w:r>
          </w:p>
        </w:tc>
        <w:tc>
          <w:tcPr>
            <w:tcW w:w="1185" w:type="dxa"/>
            <w:tcBorders>
              <w:bottom w:val="single" w:sz="8" w:space="0" w:color="000000"/>
            </w:tcBorders>
            <w:shd w:fill="FFFFFF" w:val="clear"/>
            <w:vAlign w:val="bottom"/>
          </w:tcPr>
          <w:p>
            <w:pPr>
              <w:pStyle w:val="Normal"/>
              <w:jc w:val="center"/>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1,899 </w:t>
            </w:r>
          </w:p>
        </w:tc>
        <w:tc>
          <w:tcPr>
            <w:tcW w:w="1155" w:type="dxa"/>
            <w:tcBorders>
              <w:bottom w:val="single" w:sz="8" w:space="0" w:color="000000"/>
              <w:end w:val="single" w:sz="8" w:space="0" w:color="000000"/>
            </w:tcBorders>
            <w:shd w:fill="FFFFFF" w:val="clear"/>
            <w:vAlign w:val="bottom"/>
          </w:tcPr>
          <w:p>
            <w:pPr>
              <w:pStyle w:val="Normal"/>
              <w:jc w:val="center"/>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128 </w:t>
            </w:r>
          </w:p>
        </w:tc>
      </w:tr>
    </w:tbl>
    <w:p>
      <w:pPr>
        <w:pStyle w:val="Header"/>
        <w:tabs>
          <w:tab w:val="clear" w:pos="4320"/>
          <w:tab w:val="clear" w:pos="8640"/>
        </w:tabs>
        <w:rPr>
          <w:b/>
          <w:bCs/>
        </w:rPr>
      </w:pPr>
      <w:r>
        <w:rPr>
          <w:b/>
          <w:bCs/>
        </w:rPr>
        <w:t xml:space="preserve"> </w:t>
      </w:r>
    </w:p>
    <w:p>
      <w:pPr>
        <w:pStyle w:val="Header"/>
        <w:tabs>
          <w:tab w:val="clear" w:pos="4320"/>
          <w:tab w:val="clear" w:pos="8640"/>
        </w:tabs>
        <w:rPr/>
      </w:pPr>
      <w:r>
        <w:rPr>
          <w:b/>
          <w:bCs/>
        </w:rPr>
        <w:t xml:space="preserve">                                                      </w:t>
      </w:r>
      <w:r>
        <w:rPr>
          <w:i/>
          <w:iCs/>
          <w:sz w:val="18"/>
        </w:rPr>
        <w:t>Source: Pulp and Paper Products Council, Montreal</w:t>
      </w:r>
    </w:p>
    <w:sectPr>
      <w:headerReference w:type="default" r:id="rId2"/>
      <w:footerReference w:type="default" r:id="rId3"/>
      <w:type w:val="nextPage"/>
      <w:pgSz w:w="12240" w:h="15840"/>
      <w:pgMar w:left="1008" w:right="1008" w:gutter="0" w:header="360" w:top="432" w:footer="36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Verdan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
        <w:i/>
        <w:iCs/>
        <w:sz w:val="18"/>
      </w:rPr>
    </w:pPr>
    <w:r>
      <w:rPr>
        <w:i/>
        <w:iCs/>
        <w:sz w:val="18"/>
      </w:rPr>
      <w:fldChar w:fldCharType="begin"/>
    </w:r>
    <w:r>
      <w:rPr>
        <w:sz w:val="18"/>
        <w:i/>
        <w:iCs/>
      </w:rPr>
      <w:instrText xml:space="preserve"> DATE \@"M\/d\/yyyy" </w:instrText>
    </w:r>
    <w:r>
      <w:rPr>
        <w:sz w:val="18"/>
        <w:i/>
        <w:iCs/>
      </w:rPr>
      <w:fldChar w:fldCharType="separate"/>
    </w:r>
    <w:r>
      <w:rPr>
        <w:sz w:val="18"/>
        <w:i/>
        <w:iCs/>
      </w:rPr>
      <w:t>9/28/2025</w:t>
    </w:r>
    <w:r>
      <w:rPr>
        <w:sz w:val="18"/>
        <w:i/>
        <w:iCs/>
      </w:rPr>
      <w:fldChar w:fldCharType="end"/>
    </w:r>
  </w:p>
  <w:p>
    <w:pPr>
      <w:pStyle w:val="Footer"/>
      <w:rPr>
        <w:i/>
        <w:i/>
        <w:iCs/>
        <w:sz w:val="18"/>
      </w:rPr>
    </w:pPr>
    <w:r>
      <w:rPr>
        <w:i/>
        <w:iCs/>
        <w:sz w:val="18"/>
      </w:rPr>
      <w:t>Internal Use Only</w:t>
    </w:r>
  </w:p>
  <w:p>
    <w:pPr>
      <w:pStyle w:val="Normal"/>
      <w:rPr>
        <w:sz w:val="14"/>
      </w:rPr>
    </w:pPr>
    <w:r>
      <w:rPr>
        <w:sz w:val="14"/>
      </w:rPr>
      <w:t>Enron Industrial Markets and its affiliates are engaged in the trading of forest products and related commodities, and swaps, options, forwards and other derivatives on such commodities, for their own accounts and such trading could affect the markets for or prices of such commodities or derivatives.  The markets for and prices of such commodities and derivatives could also be affected by a variety of other factors, including supply and distribution factors, activities of other market participants and economic conditions generally.  Enron Industrial Markets and its affiliates assume no liability or responsibility for the accuracy or completeness of any information contained herein or for ensuring that any such information is current or updated.  The views set forth herein are intended solely for the personal use of the recipient, should not form the principal basis for any investment or trading decision and are not intended as advice or as a recommendation or solicitation of any transaction.  The user is solely responsible for any investment or trading decisions made on the basis of this information.  The information set forth herein is subject to change without notice at any time.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5220" w:leader="none"/>
        <w:tab w:val="center" w:pos="9900" w:leader="none"/>
      </w:tabs>
      <w:rPr/>
    </w:pPr>
    <w:r>
      <w:rPr/>
      <w:drawing>
        <wp:inline distT="0" distB="0" distL="0" distR="0">
          <wp:extent cx="7127240" cy="8413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5" t="-40" r="-5" b="-40"/>
                  <a:stretch>
                    <a:fillRect/>
                  </a:stretch>
                </pic:blipFill>
                <pic:spPr bwMode="auto">
                  <a:xfrm>
                    <a:off x="0" y="0"/>
                    <a:ext cx="7127240" cy="841375"/>
                  </a:xfrm>
                  <a:prstGeom prst="rect">
                    <a:avLst/>
                  </a:prstGeom>
                  <a:noFill/>
                </pic:spPr>
              </pic:pic>
            </a:graphicData>
          </a:graphic>
        </wp:inline>
      </w:drawing>
    </w:r>
    <w:r>
      <w:rPr/>
      <w:t xml:space="preserve"> </w:t>
    </w:r>
    <w:r>
      <w:rPr>
        <w:rFonts w:cs="Arial" w:ascii="Arial" w:hAnsi="Arial"/>
        <w:b/>
        <w:bCs/>
        <w:sz w:val="20"/>
      </w:rPr>
      <w:t>Dave Allan X5-2644</w:t>
      <w:tab/>
      <w:t>Karen Carter X3-0991</w:t>
      <w:tab/>
      <w:t>Monika Causholli X5-1510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360" w:end="0"/>
      <w:outlineLvl w:val="0"/>
    </w:pPr>
    <w:rPr>
      <w:b/>
      <w:bCs/>
      <w:i/>
      <w:iCs/>
    </w:rPr>
  </w:style>
  <w:style w:type="paragraph" w:styleId="Heading2">
    <w:name w:val="heading 2"/>
    <w:basedOn w:val="Normal"/>
    <w:next w:val="Normal"/>
    <w:qFormat/>
    <w:pPr>
      <w:keepNext w:val="true"/>
      <w:numPr>
        <w:ilvl w:val="1"/>
        <w:numId w:val="1"/>
      </w:numPr>
      <w:jc w:val="center"/>
      <w:outlineLvl w:val="1"/>
    </w:pPr>
    <w:rPr>
      <w:b/>
      <w:bCs/>
    </w:rPr>
  </w:style>
  <w:style w:type="paragraph" w:styleId="Heading3">
    <w:name w:val="heading 3"/>
    <w:basedOn w:val="Normal"/>
    <w:next w:val="Normal"/>
    <w:qFormat/>
    <w:pPr>
      <w:keepNext w:val="true"/>
      <w:numPr>
        <w:ilvl w:val="2"/>
        <w:numId w:val="1"/>
      </w:numPr>
      <w:ind w:firstLine="720" w:start="7200" w:end="0"/>
      <w:jc w:val="end"/>
      <w:outlineLvl w:val="2"/>
    </w:pPr>
    <w:rPr>
      <w:b/>
      <w:bCs/>
      <w:sz w:val="20"/>
    </w:rPr>
  </w:style>
  <w:style w:type="paragraph" w:styleId="Heading4">
    <w:name w:val="heading 4"/>
    <w:basedOn w:val="Normal"/>
    <w:next w:val="Normal"/>
    <w:qFormat/>
    <w:pPr>
      <w:keepNext w:val="true"/>
      <w:numPr>
        <w:ilvl w:val="3"/>
        <w:numId w:val="1"/>
      </w:numPr>
      <w:outlineLvl w:val="3"/>
    </w:pPr>
    <w:rPr>
      <w:rFonts w:ascii="Arial" w:hAnsi="Arial" w:cs="Arial"/>
      <w:b/>
      <w:bCs/>
      <w:color w:val="008080"/>
      <w:sz w:val="12"/>
      <w:szCs w:val="16"/>
    </w:rPr>
  </w:style>
  <w:style w:type="paragraph" w:styleId="Heading5">
    <w:name w:val="heading 5"/>
    <w:basedOn w:val="Normal"/>
    <w:next w:val="Normal"/>
    <w:qFormat/>
    <w:pPr>
      <w:keepNext w:val="true"/>
      <w:numPr>
        <w:ilvl w:val="4"/>
        <w:numId w:val="1"/>
      </w:numPr>
      <w:jc w:val="both"/>
      <w:outlineLvl w:val="4"/>
    </w:pPr>
    <w:rPr>
      <w:rFonts w:ascii="Arial" w:hAnsi="Arial" w:cs="Arial"/>
      <w:b/>
      <w:bCs/>
      <w:sz w:val="16"/>
      <w:szCs w:val="16"/>
    </w:rPr>
  </w:style>
  <w:style w:type="paragraph" w:styleId="Heading6">
    <w:name w:val="heading 6"/>
    <w:basedOn w:val="Normal"/>
    <w:next w:val="Normal"/>
    <w:qFormat/>
    <w:pPr>
      <w:keepNext w:val="true"/>
      <w:numPr>
        <w:ilvl w:val="5"/>
        <w:numId w:val="1"/>
      </w:numPr>
      <w:autoSpaceDE w:val="false"/>
      <w:spacing w:before="100" w:after="100"/>
      <w:outlineLvl w:val="5"/>
    </w:pPr>
    <w:rPr>
      <w:b/>
      <w:bCs/>
      <w:i/>
      <w:iCs/>
      <w:sz w:val="20"/>
    </w:rPr>
  </w:style>
  <w:style w:type="paragraph" w:styleId="Heading7">
    <w:name w:val="heading 7"/>
    <w:basedOn w:val="Normal"/>
    <w:next w:val="Normal"/>
    <w:qFormat/>
    <w:pPr>
      <w:keepNext w:val="true"/>
      <w:numPr>
        <w:ilvl w:val="6"/>
        <w:numId w:val="1"/>
      </w:numPr>
      <w:jc w:val="center"/>
      <w:outlineLvl w:val="6"/>
    </w:pPr>
    <w:rPr>
      <w:b/>
      <w:bCs/>
      <w:sz w:val="14"/>
      <w:szCs w:val="20"/>
    </w:rPr>
  </w:style>
  <w:style w:type="paragraph" w:styleId="Heading8">
    <w:name w:val="heading 8"/>
    <w:basedOn w:val="Normal"/>
    <w:next w:val="Normal"/>
    <w:qFormat/>
    <w:pPr>
      <w:keepNext w:val="true"/>
      <w:numPr>
        <w:ilvl w:val="7"/>
        <w:numId w:val="1"/>
      </w:numPr>
      <w:outlineLvl w:val="7"/>
    </w:pPr>
    <w:rPr>
      <w:b/>
      <w:bCs/>
      <w:sz w:val="20"/>
    </w:rPr>
  </w:style>
  <w:style w:type="paragraph" w:styleId="Heading9">
    <w:name w:val="heading 9"/>
    <w:basedOn w:val="Normal"/>
    <w:next w:val="Normal"/>
    <w:qFormat/>
    <w:pPr>
      <w:keepNext w:val="true"/>
      <w:numPr>
        <w:ilvl w:val="8"/>
        <w:numId w:val="1"/>
      </w:numPr>
      <w:outlineLvl w:val="8"/>
    </w:pPr>
    <w:rPr>
      <w:b/>
      <w:bCs/>
      <w:sz w:val="21"/>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Times New Roman" w:hAnsi="Times New Roman"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Times New Roman" w:hAnsi="Times New Roman"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Times New Roman" w:hAnsi="Times New Roman"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St6z0">
    <w:name w:val="WW8NumSt6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next w:val="Normal"/>
    <w:qFormat/>
    <w:pPr>
      <w:autoSpaceDE w:val="false"/>
      <w:spacing w:before="100" w:after="100"/>
    </w:pPr>
    <w:rPr>
      <w:i/>
      <w:iCs/>
      <w:sz w:val="16"/>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14"/>
    </w:rPr>
  </w:style>
  <w:style w:type="paragraph" w:styleId="BodyText3">
    <w:name w:val="Body Text 3"/>
    <w:basedOn w:val="Normal"/>
    <w:qFormat/>
    <w:pPr/>
    <w:rPr>
      <w:sz w:val="16"/>
    </w:rPr>
  </w:style>
  <w:style w:type="paragraph" w:styleId="NormalWeb">
    <w:name w:val="Normal (Web)"/>
    <w:basedOn w:val="Normal"/>
    <w:qFormat/>
    <w:pPr>
      <w:spacing w:before="100" w:after="100"/>
    </w:pPr>
    <w:rPr>
      <w:rFonts w:ascii="Verdana" w:hAnsi="Verdana" w:eastAsia="Arial Unicode MS" w:cs="Arial Unicode MS"/>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2001-11-16T11:48:00Z</dcterms:created>
  <dc:creator>vsingh3</dc:creator>
  <dc:description/>
  <dc:language>en-CA</dc:language>
  <cp:lastModifiedBy>mcaushol</cp:lastModifiedBy>
  <cp:lastPrinted>2001-11-16T11:08:00Z</cp:lastPrinted>
  <dcterms:modified xsi:type="dcterms:W3CDTF">2001-11-16T14:38:00Z</dcterms:modified>
  <cp:revision>42</cp:revision>
  <dc:subject/>
  <dc:title>                                                                                                       </dc:title>
</cp:coreProperties>
</file>