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4"/>
        </w:rPr>
      </w:pPr>
      <w:r>
        <w:rPr>
          <w:sz w:val="24"/>
        </w:rPr>
        <w:t>Supply Side News:</w:t>
      </w:r>
    </w:p>
    <w:p>
      <w:pPr>
        <w:pStyle w:val="Normal"/>
        <w:rPr>
          <w:sz w:val="24"/>
        </w:rPr>
      </w:pPr>
      <w:r>
        <w:rPr>
          <w:sz w:val="24"/>
        </w:rPr>
      </w:r>
    </w:p>
    <w:p>
      <w:pPr>
        <w:pStyle w:val="Normal"/>
        <w:rPr/>
      </w:pPr>
      <w:r>
        <w:rPr>
          <w:b/>
          <w:bCs/>
          <w:i/>
          <w:iCs/>
          <w:color w:val="333333"/>
          <w:sz w:val="22"/>
        </w:rPr>
        <w:t>Western Pulp</w:t>
      </w:r>
      <w:r>
        <w:rPr>
          <w:sz w:val="22"/>
        </w:rPr>
        <w:t xml:space="preserve"> announced it will curtail production at two of its British Columbia mills due to weak conditions in the pulp market. The Squamish mill will lose 24,000 metric tons of NBSK (or 8 percent of its current capacity) starting on December 7. The Port Alice mill will cut its production by 23,000 metric tons (or 14 percent of its current capacity) starting in November 16. Downtime at both mills will continue until next year and full production is expected to come online by January 7.</w:t>
      </w:r>
    </w:p>
    <w:p>
      <w:pPr>
        <w:pStyle w:val="Normal"/>
        <w:rPr>
          <w:sz w:val="22"/>
        </w:rPr>
      </w:pPr>
      <w:r>
        <w:rPr>
          <w:sz w:val="22"/>
        </w:rPr>
      </w:r>
    </w:p>
    <w:p>
      <w:pPr>
        <w:pStyle w:val="Normal"/>
        <w:rPr/>
      </w:pPr>
      <w:r>
        <w:rPr>
          <w:b/>
          <w:bCs/>
          <w:i/>
          <w:iCs/>
          <w:color w:val="333333"/>
          <w:sz w:val="22"/>
        </w:rPr>
        <w:t>Mercer International</w:t>
      </w:r>
      <w:r>
        <w:rPr>
          <w:sz w:val="22"/>
        </w:rPr>
        <w:t xml:space="preserve"> of Switzerland has shown an interest in the bankrupt Canadian pulp producer Skeena Cellulose. Mercer International will submit a proposal to the BC bankruptcy court asking it to extend Skeena’s protection from creditors. Skeena Cellulose has one pulp mill that produces a total of 478,000 metric tons a year of NBSK pulp. </w:t>
      </w:r>
    </w:p>
    <w:p>
      <w:pPr>
        <w:pStyle w:val="Normal"/>
        <w:rPr>
          <w:sz w:val="22"/>
        </w:rPr>
      </w:pPr>
      <w:r>
        <w:rPr>
          <w:sz w:val="22"/>
        </w:rPr>
      </w:r>
    </w:p>
    <w:p>
      <w:pPr>
        <w:pStyle w:val="Normal"/>
        <w:rPr>
          <w:b/>
          <w:bCs/>
        </w:rPr>
      </w:pPr>
      <w:r>
        <w:rPr>
          <w:b/>
          <w:bCs/>
        </w:rPr>
        <w:t xml:space="preserve">Demand Side News:  </w:t>
      </w:r>
    </w:p>
    <w:p>
      <w:pPr>
        <w:pStyle w:val="NormalWeb"/>
        <w:spacing w:before="120" w:after="100"/>
        <w:rPr/>
      </w:pPr>
      <w:r>
        <w:rPr>
          <w:rFonts w:cs="Times New Roman" w:ascii="Times New Roman" w:hAnsi="Times New Roman"/>
          <w:b/>
          <w:bCs/>
          <w:i/>
          <w:iCs/>
          <w:color w:val="333333"/>
          <w:sz w:val="22"/>
        </w:rPr>
        <w:t>Abitibi Consolidated</w:t>
      </w:r>
      <w:r>
        <w:rPr>
          <w:rFonts w:cs="Times New Roman" w:ascii="Times New Roman" w:hAnsi="Times New Roman"/>
          <w:color w:val="333333"/>
          <w:sz w:val="22"/>
        </w:rPr>
        <w:t xml:space="preserve"> </w:t>
      </w:r>
      <w:r>
        <w:rPr>
          <w:rFonts w:cs="Times New Roman" w:ascii="Times New Roman" w:hAnsi="Times New Roman"/>
          <w:sz w:val="22"/>
        </w:rPr>
        <w:t>completed its project in Lufkin, Texas that would add about 255,000 metric tonnes a year of supercalendered paper (SC).</w:t>
      </w:r>
    </w:p>
    <w:p>
      <w:pPr>
        <w:pStyle w:val="NormalWeb"/>
        <w:spacing w:before="120" w:after="100"/>
        <w:rPr>
          <w:rFonts w:ascii="Times New Roman" w:hAnsi="Times New Roman" w:cs="Times New Roman"/>
          <w:sz w:val="24"/>
        </w:rPr>
      </w:pPr>
      <w:r>
        <w:rPr>
          <w:rFonts w:cs="Times New Roman" w:ascii="Times New Roman" w:hAnsi="Times New Roman"/>
          <w:b/>
          <w:bCs/>
          <w:i/>
          <w:iCs/>
          <w:color w:val="333333"/>
          <w:sz w:val="22"/>
        </w:rPr>
        <w:t>Sappi</w:t>
      </w:r>
      <w:r>
        <w:rPr>
          <w:rFonts w:cs="Times New Roman" w:ascii="Times New Roman" w:hAnsi="Times New Roman"/>
          <w:sz w:val="22"/>
        </w:rPr>
        <w:t xml:space="preserve"> has announced that it would take an unspecified amount of downtime at its 680,000 metric tons a year of coated freesheet paper mill in Skowhegan, Maine. </w:t>
      </w:r>
    </w:p>
    <w:p>
      <w:pPr>
        <w:pStyle w:val="Normal"/>
        <w:autoSpaceDE w:val="false"/>
        <w:spacing w:before="120" w:after="0"/>
        <w:rPr>
          <w:b/>
          <w:bCs/>
        </w:rPr>
      </w:pPr>
      <w:r>
        <w:rPr>
          <w:b/>
          <w:bCs/>
        </w:rPr>
        <w:t xml:space="preserve">Price:                        </w:t>
      </w:r>
    </w:p>
    <w:p>
      <w:pPr>
        <w:pStyle w:val="Normal"/>
        <w:autoSpaceDE w:val="false"/>
        <w:spacing w:before="120" w:after="0"/>
        <w:rPr/>
      </w:pPr>
      <w:r>
        <w:rPr>
          <w:sz w:val="22"/>
        </w:rPr>
        <w:t>FOEX index for NBSK this week was US$465.43 up USS$0.95 or 0.2 percent. FOEX for BHKP was Euro 466.02 up Euro 0.02. Expressed in dollar terms, BHKP was US$420.55 up US$4.46 or 1.07 percent. Despite the minimal upside movement in the prices this week the increase is in line with producers’ attempts to raise prices</w:t>
      </w:r>
      <w:r>
        <w:rPr>
          <w:i/>
          <w:iCs/>
          <w:sz w:val="20"/>
        </w:rPr>
        <w:t>. Please see graph below of the FOEX index for both NBSK, BHKP.</w:t>
      </w:r>
    </w:p>
    <w:p>
      <w:pPr>
        <w:pStyle w:val="Normal"/>
        <w:autoSpaceDE w:val="false"/>
        <w:spacing w:before="120" w:after="0"/>
        <w:rPr>
          <w:sz w:val="22"/>
        </w:rPr>
      </w:pPr>
      <w:r>
        <w:rPr>
          <w:sz w:val="22"/>
        </w:rPr>
        <w:t>In Asia the Chinese and Korean pulp buyers have resisted the price increases that producers were trying to instill. Pulp traders in the region are sitting on large amounts of stocks and are in no hurry to accept the price increases. On the other hand, in the US prices are reported to have remained flat for all the pulp grades.</w:t>
      </w:r>
    </w:p>
    <w:p>
      <w:pPr>
        <w:pStyle w:val="Normal"/>
        <w:autoSpaceDE w:val="false"/>
        <w:spacing w:before="120" w:after="0"/>
        <w:jc w:val="center"/>
        <w:rPr>
          <w:sz w:val="16"/>
        </w:rPr>
      </w:pPr>
      <w:r>
        <w:rPr/>
        <mc:AlternateContent>
          <mc:Choice Requires="wps">
            <w:drawing>
              <wp:anchor behindDoc="0" distT="0" distB="0" distL="114935" distR="114935" simplePos="0" locked="0" layoutInCell="1" allowOverlap="1" relativeHeight="7">
                <wp:simplePos x="0" y="0"/>
                <wp:positionH relativeFrom="column">
                  <wp:posOffset>4686300</wp:posOffset>
                </wp:positionH>
                <wp:positionV relativeFrom="paragraph">
                  <wp:posOffset>722630</wp:posOffset>
                </wp:positionV>
                <wp:extent cx="800100" cy="228600"/>
                <wp:effectExtent l="0" t="5080" r="1905" b="15875"/>
                <wp:wrapNone/>
                <wp:docPr id="1" name=""/>
                <a:graphic xmlns:a="http://schemas.openxmlformats.org/drawingml/2006/main">
                  <a:graphicData uri="http://schemas.microsoft.com/office/word/2010/wordprocessingShape">
                    <wps:wsp>
                      <wps:cNvSpPr/>
                      <wps:spPr>
                        <a:xfrm flipH="1">
                          <a:off x="0" y="0"/>
                          <a:ext cx="8002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9pt,56.9pt" to="431.95pt,74.8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4572000</wp:posOffset>
                </wp:positionH>
                <wp:positionV relativeFrom="paragraph">
                  <wp:posOffset>722630</wp:posOffset>
                </wp:positionV>
                <wp:extent cx="914400" cy="685800"/>
                <wp:effectExtent l="0" t="3810" r="3175" b="0"/>
                <wp:wrapNone/>
                <wp:docPr id="2" name=""/>
                <a:graphic xmlns:a="http://schemas.openxmlformats.org/drawingml/2006/main">
                  <a:graphicData uri="http://schemas.microsoft.com/office/word/2010/wordprocessingShape">
                    <wps:wsp>
                      <wps:cNvSpPr/>
                      <wps:spPr>
                        <a:xfrm flipH="1">
                          <a:off x="0" y="0"/>
                          <a:ext cx="91440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0pt,56.9pt" to="431.95pt,110.85pt" stroked="t" o:allowincell="f" style="position:absolute;flip:x">
                <v:stroke color="black" weight="9360" endarrow="block" endarrowwidth="medium" endarrowlength="medium" joinstyle="miter" endcap="flat"/>
                <v:fill o:detectmouseclick="t" on="false"/>
                <w10:wrap type="none"/>
              </v:line>
            </w:pict>
          </mc:Fallback>
        </mc:AlternateContent>
        <w:object w:dxaOrig="6401" w:dyaOrig="35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4.75pt;height:173.25pt" filled="f" o:ole="">
            <v:imagedata r:id="rId3" o:title=""/>
          </v:shape>
          <o:OLEObject Type="Embed" ProgID="Excel.Sheet.12" ShapeID="ole_rId2" DrawAspect="Content" ObjectID="_789622290" r:id="rId2"/>
        </w:object>
      </w:r>
      <w:r>
        <mc:AlternateContent>
          <mc:Choice Requires="wps">
            <w:drawing>
              <wp:anchor behindDoc="0" distT="0" distB="0" distL="114935" distR="114935" simplePos="0" locked="0" layoutInCell="1" allowOverlap="1" relativeHeight="6">
                <wp:simplePos x="0" y="0"/>
                <wp:positionH relativeFrom="column">
                  <wp:posOffset>5372100</wp:posOffset>
                </wp:positionH>
                <wp:positionV relativeFrom="paragraph">
                  <wp:posOffset>379730</wp:posOffset>
                </wp:positionV>
                <wp:extent cx="1714500" cy="685800"/>
                <wp:effectExtent l="0" t="0" r="0" b="0"/>
                <wp:wrapNone/>
                <wp:docPr id="3" name="Frame1"/>
                <a:graphic xmlns:a="http://schemas.openxmlformats.org/drawingml/2006/main">
                  <a:graphicData uri="http://schemas.microsoft.com/office/word/2010/wordprocessingShape">
                    <wps:wsp>
                      <wps:cNvSpPr txBox="1"/>
                      <wps:spPr>
                        <a:xfrm>
                          <a:off x="0" y="0"/>
                          <a:ext cx="1714500" cy="685800"/>
                        </a:xfrm>
                        <a:prstGeom prst="rect"/>
                        <a:solidFill>
                          <a:srgbClr val="FFFFFF"/>
                        </a:solidFill>
                      </wps:spPr>
                      <wps:txbx>
                        <w:txbxContent>
                          <w:p>
                            <w:pPr>
                              <w:pStyle w:val="Normal"/>
                              <w:rPr>
                                <w:sz w:val="16"/>
                              </w:rPr>
                            </w:pPr>
                            <w:r>
                              <w:rPr>
                                <w:sz w:val="16"/>
                              </w:rPr>
                              <w:t>The FOEX  prices are showing a steady recovery from the bottom levels reached in September.</w:t>
                            </w:r>
                          </w:p>
                        </w:txbxContent>
                      </wps:txbx>
                      <wps:bodyPr anchor="t" lIns="92075" tIns="46355" rIns="92075" bIns="46355">
                        <a:noAutofit/>
                      </wps:bodyPr>
                    </wps:wsp>
                  </a:graphicData>
                </a:graphic>
              </wp:anchor>
            </w:drawing>
          </mc:Choice>
          <mc:Fallback>
            <w:pict>
              <v:rect fillcolor="#FFFFFF" style="position:absolute;rotation:-0;width:135pt;height:54pt;mso-wrap-distance-left:9.05pt;mso-wrap-distance-right:9.05pt;mso-wrap-distance-top:0pt;mso-wrap-distance-bottom:0pt;margin-top:29.9pt;mso-position-vertical-relative:text;margin-left:423pt;mso-position-horizontal-relative:text">
                <v:textbox inset="0.100694444444444in,0.0506944444444444in,0.100694444444444in,0.0506944444444444in">
                  <w:txbxContent>
                    <w:p>
                      <w:pPr>
                        <w:pStyle w:val="Normal"/>
                        <w:rPr>
                          <w:sz w:val="16"/>
                        </w:rPr>
                      </w:pPr>
                      <w:r>
                        <w:rPr>
                          <w:sz w:val="16"/>
                        </w:rPr>
                        <w:t>The FOEX  prices are showing a steady recovery from the bottom levels reached in September.</w:t>
                      </w:r>
                    </w:p>
                  </w:txbxContent>
                </v:textbox>
                <w10:wrap type="none"/>
              </v:rect>
            </w:pict>
          </mc:Fallback>
        </mc:AlternateContent>
      </w:r>
    </w:p>
    <w:p>
      <w:pPr>
        <w:pStyle w:val="Normal"/>
        <w:autoSpaceDE w:val="false"/>
        <w:spacing w:before="120" w:after="0"/>
        <w:jc w:val="center"/>
        <w:rPr>
          <w:sz w:val="16"/>
          <w:lang w:val="en-CA" w:eastAsia="en-CA"/>
        </w:rPr>
      </w:pPr>
      <w:r>
        <w:rPr>
          <w:sz w:val="16"/>
          <w:lang w:val="en-CA" w:eastAsia="en-CA"/>
        </w:rPr>
      </w:r>
      <w:r>
        <mc:AlternateContent>
          <mc:Choice Requires="wps">
            <w:drawing>
              <wp:anchor behindDoc="0" distT="0" distB="0" distL="114935" distR="114935" simplePos="0" locked="0" layoutInCell="1" allowOverlap="1" relativeHeight="5">
                <wp:simplePos x="0" y="0"/>
                <wp:positionH relativeFrom="column">
                  <wp:posOffset>1371600</wp:posOffset>
                </wp:positionH>
                <wp:positionV relativeFrom="paragraph">
                  <wp:posOffset>-5715</wp:posOffset>
                </wp:positionV>
                <wp:extent cx="1714500" cy="228600"/>
                <wp:effectExtent l="0" t="0" r="0" b="0"/>
                <wp:wrapNone/>
                <wp:docPr id="4" name="Frame2"/>
                <a:graphic xmlns:a="http://schemas.openxmlformats.org/drawingml/2006/main">
                  <a:graphicData uri="http://schemas.microsoft.com/office/word/2010/wordprocessingShape">
                    <wps:wsp>
                      <wps:cNvSpPr txBox="1"/>
                      <wps:spPr>
                        <a:xfrm>
                          <a:off x="0" y="0"/>
                          <a:ext cx="1714500" cy="228600"/>
                        </a:xfrm>
                        <a:prstGeom prst="rect"/>
                        <a:solidFill>
                          <a:srgbClr val="FFFFFF"/>
                        </a:solidFill>
                      </wps:spPr>
                      <wps:txbx>
                        <w:txbxContent>
                          <w:p>
                            <w:pPr>
                              <w:pStyle w:val="Normal"/>
                              <w:rPr>
                                <w:i/>
                                <w:i/>
                                <w:iCs/>
                                <w:sz w:val="16"/>
                              </w:rPr>
                            </w:pPr>
                            <w:r>
                              <w:rPr>
                                <w:i/>
                                <w:iCs/>
                                <w:sz w:val="16"/>
                              </w:rPr>
                              <w:t>Source: www.foex.fi</w:t>
                            </w:r>
                          </w:p>
                        </w:txbxContent>
                      </wps:txbx>
                      <wps:bodyPr anchor="t" lIns="92075" tIns="46355" rIns="92075" bIns="46355">
                        <a:noAutofit/>
                      </wps:bodyPr>
                    </wps:wsp>
                  </a:graphicData>
                </a:graphic>
              </wp:anchor>
            </w:drawing>
          </mc:Choice>
          <mc:Fallback>
            <w:pict>
              <v:rect fillcolor="#FFFFFF" style="position:absolute;rotation:-0;width:135pt;height:18pt;mso-wrap-distance-left:9.05pt;mso-wrap-distance-right:9.05pt;mso-wrap-distance-top:0pt;mso-wrap-distance-bottom:0pt;margin-top:-0.45pt;mso-position-vertical-relative:text;margin-left:108pt;mso-position-horizontal-relative:text">
                <v:textbox inset="0.100694444444444in,0.0506944444444444in,0.100694444444444in,0.0506944444444444in">
                  <w:txbxContent>
                    <w:p>
                      <w:pPr>
                        <w:pStyle w:val="Normal"/>
                        <w:rPr>
                          <w:i/>
                          <w:i/>
                          <w:iCs/>
                          <w:sz w:val="16"/>
                        </w:rPr>
                      </w:pPr>
                      <w:r>
                        <w:rPr>
                          <w:i/>
                          <w:iCs/>
                          <w:sz w:val="16"/>
                        </w:rPr>
                        <w:t>Source: www.foex.fi</w:t>
                      </w:r>
                    </w:p>
                  </w:txbxContent>
                </v:textbox>
                <w10:wrap type="none"/>
              </v:rect>
            </w:pict>
          </mc:Fallback>
        </mc:AlternateContent>
      </w:r>
    </w:p>
    <w:p>
      <w:pPr>
        <w:pStyle w:val="Normal"/>
        <w:autoSpaceDE w:val="false"/>
        <w:spacing w:before="120" w:after="0"/>
        <w:jc w:val="center"/>
        <w:rPr>
          <w:sz w:val="22"/>
        </w:rPr>
      </w:pPr>
      <w:r>
        <w:rPr>
          <w:sz w:val="22"/>
        </w:rPr>
      </w:r>
    </w:p>
    <w:p>
      <w:pPr>
        <w:pStyle w:val="Normal"/>
        <w:autoSpaceDE w:val="false"/>
        <w:spacing w:before="120" w:after="0"/>
        <w:rPr>
          <w:sz w:val="22"/>
        </w:rPr>
      </w:pPr>
      <w:r>
        <w:rPr>
          <w:sz w:val="22"/>
        </w:rPr>
        <w:t xml:space="preserve">  </w:t>
      </w:r>
    </w:p>
    <w:p>
      <w:pPr>
        <w:pStyle w:val="Normal"/>
        <w:autoSpaceDE w:val="false"/>
        <w:spacing w:before="120" w:after="0"/>
        <w:rPr>
          <w:b/>
          <w:bCs/>
        </w:rPr>
      </w:pPr>
      <w:r>
        <w:rPr>
          <w:b/>
          <w:bCs/>
        </w:rPr>
        <w:t xml:space="preserve">                                                                                                                                                                                                                                                                                                                                                                                                                                                          </w:t>
      </w:r>
    </w:p>
    <w:sectPr>
      <w:headerReference w:type="default" r:id="rId4"/>
      <w:footerReference w:type="default" r:id="rId5"/>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2001-11-08T17:15:00Z</dcterms:created>
  <dc:creator>vsingh3</dc:creator>
  <dc:description/>
  <dc:language>en-CA</dc:language>
  <cp:lastModifiedBy>mcaushol</cp:lastModifiedBy>
  <cp:lastPrinted>2001-11-09T08:56:00Z</cp:lastPrinted>
  <dcterms:modified xsi:type="dcterms:W3CDTF">2001-11-09T12:54:00Z</dcterms:modified>
  <cp:revision>23</cp:revision>
  <dc:subject/>
  <dc:title>                                                                                                       </dc:title>
</cp:coreProperties>
</file>