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spacing w:before="120" w:after="0"/>
        <w:ind w:hanging="0" w:start="0"/>
        <w:rPr>
          <w:sz w:val="21"/>
        </w:rPr>
      </w:pPr>
      <w:r>
        <w:rPr/>
        <w:t>Supply Side News:</w:t>
      </w:r>
    </w:p>
    <w:p>
      <w:pPr>
        <w:pStyle w:val="Normal"/>
        <w:rPr/>
      </w:pPr>
      <w:r>
        <w:rPr>
          <w:sz w:val="22"/>
        </w:rPr>
        <w:t xml:space="preserve">- In September, </w:t>
      </w:r>
      <w:r>
        <w:rPr>
          <w:b/>
          <w:bCs/>
          <w:i/>
          <w:iCs/>
          <w:sz w:val="22"/>
        </w:rPr>
        <w:t>world pulp inventories</w:t>
      </w:r>
      <w:r>
        <w:rPr>
          <w:sz w:val="22"/>
        </w:rPr>
        <w:t xml:space="preserve"> fell 345,000 tons, or 10 percent, to approximately 3.1 million tons from 3.4 million in August.  Given that September inventories have historically dropped by only 128,000 tons, this is a positive sign. The decline was a result of both stronger shipments and heavy downtime. (</w:t>
      </w:r>
      <w:r>
        <w:rPr>
          <w:i/>
          <w:iCs/>
          <w:sz w:val="16"/>
        </w:rPr>
        <w:t>See next page for a graph of world inventories</w:t>
      </w:r>
      <w:r>
        <w:rPr>
          <w:sz w:val="16"/>
        </w:rPr>
        <w:t>)</w:t>
      </w:r>
      <w:r>
        <w:rPr>
          <w:sz w:val="22"/>
        </w:rPr>
        <w:t xml:space="preserve">.  </w:t>
      </w:r>
      <w:r>
        <w:rPr>
          <w:b/>
          <w:bCs/>
          <w:i/>
          <w:iCs/>
          <w:sz w:val="22"/>
        </w:rPr>
        <w:t>Shipments</w:t>
      </w:r>
      <w:r>
        <w:rPr>
          <w:sz w:val="22"/>
        </w:rPr>
        <w:t xml:space="preserve"> of approximately 2.9 million tons rose 4.4 percent compared to August, while </w:t>
      </w:r>
      <w:r>
        <w:rPr>
          <w:b/>
          <w:bCs/>
          <w:i/>
          <w:iCs/>
          <w:sz w:val="22"/>
        </w:rPr>
        <w:t>production</w:t>
      </w:r>
      <w:r>
        <w:rPr>
          <w:sz w:val="22"/>
        </w:rPr>
        <w:t xml:space="preserve"> of approximately 2.5 million tons tumbled 10.2 percent versus a year ago, and 5.9 versus last month. Producers’ </w:t>
      </w:r>
      <w:r>
        <w:rPr>
          <w:b/>
          <w:bCs/>
          <w:i/>
          <w:iCs/>
          <w:sz w:val="22"/>
        </w:rPr>
        <w:t>operating rate</w:t>
      </w:r>
      <w:r>
        <w:rPr>
          <w:sz w:val="22"/>
        </w:rPr>
        <w:t xml:space="preserve"> of 84 percent was down from 95 percent in September 2000. The shipments-to-capacity ratio, considered an indicator of producer discipline, jumped 5 points to 95 percent. </w:t>
      </w:r>
    </w:p>
    <w:p>
      <w:pPr>
        <w:pStyle w:val="Normal"/>
        <w:autoSpaceDE w:val="false"/>
        <w:spacing w:before="100" w:after="100"/>
        <w:rPr/>
      </w:pPr>
      <w:r>
        <w:rPr>
          <w:sz w:val="22"/>
        </w:rPr>
        <w:t>- Shipments of market pulp to China totaled 462,157 tons</w:t>
      </w:r>
      <w:r>
        <w:rPr>
          <w:b/>
          <w:bCs/>
          <w:sz w:val="22"/>
        </w:rPr>
        <w:t xml:space="preserve"> </w:t>
      </w:r>
      <w:r>
        <w:rPr>
          <w:sz w:val="22"/>
        </w:rPr>
        <w:t>in September, down 0.6 percent compared with August. Despite the month-to-month decline, year-to-date market pulp imports into China have climbed 33 percent vs. the same period last year as paper producers restock pulp inventories.</w:t>
      </w:r>
    </w:p>
    <w:p>
      <w:pPr>
        <w:pStyle w:val="Normal"/>
        <w:autoSpaceDE w:val="false"/>
        <w:spacing w:before="100" w:after="100"/>
        <w:rPr/>
      </w:pPr>
      <w:r>
        <w:rPr>
          <w:sz w:val="22"/>
        </w:rPr>
        <w:t xml:space="preserve">- Producers continued showing discipline in taking the necessary downtime to keep market fundamentals pretty well balanced. </w:t>
      </w:r>
      <w:r>
        <w:rPr>
          <w:i/>
          <w:iCs/>
          <w:sz w:val="22"/>
        </w:rPr>
        <w:t>NorskeCanada</w:t>
      </w:r>
      <w:r>
        <w:rPr>
          <w:sz w:val="22"/>
        </w:rPr>
        <w:t xml:space="preserve"> announced it will curtail production at all four of its BC pulp and paper divisions during the fourth quarter. Pulp production will be curtailed by 23,600 tons. Fourth quarter curtailment brings accumulated pulp downtime to 121,000 tons. </w:t>
      </w:r>
    </w:p>
    <w:p>
      <w:pPr>
        <w:pStyle w:val="NormalWeb"/>
        <w:spacing w:before="120" w:after="100"/>
        <w:rPr>
          <w:rFonts w:ascii="Times New Roman" w:hAnsi="Times New Roman" w:cs="Times New Roman"/>
          <w:b/>
          <w:bCs/>
          <w:sz w:val="22"/>
        </w:rPr>
      </w:pPr>
      <w:r>
        <w:rPr>
          <w:rFonts w:cs="Times New Roman" w:ascii="Times New Roman" w:hAnsi="Times New Roman"/>
          <w:b/>
          <w:bCs/>
          <w:sz w:val="22"/>
        </w:rPr>
        <w:t xml:space="preserve">Demand Side News:                                                                                                                                                                                                       </w:t>
      </w:r>
    </w:p>
    <w:p>
      <w:pPr>
        <w:pStyle w:val="Normal"/>
        <w:autoSpaceDE w:val="false"/>
        <w:spacing w:before="100" w:after="100"/>
        <w:rPr/>
      </w:pPr>
      <w:r>
        <w:rPr>
          <w:sz w:val="22"/>
        </w:rPr>
        <w:t xml:space="preserve">- PPPC reported that North American </w:t>
      </w:r>
      <w:r>
        <w:rPr>
          <w:b/>
          <w:bCs/>
          <w:i/>
          <w:iCs/>
          <w:sz w:val="22"/>
        </w:rPr>
        <w:t>printing/writing paper inventories</w:t>
      </w:r>
      <w:r>
        <w:rPr>
          <w:b/>
          <w:bCs/>
          <w:sz w:val="22"/>
        </w:rPr>
        <w:t xml:space="preserve"> </w:t>
      </w:r>
      <w:r>
        <w:rPr>
          <w:sz w:val="22"/>
        </w:rPr>
        <w:t>dropped by about 6 percent</w:t>
      </w:r>
      <w:r>
        <w:rPr>
          <w:b/>
          <w:bCs/>
          <w:sz w:val="22"/>
        </w:rPr>
        <w:t xml:space="preserve"> </w:t>
      </w:r>
      <w:r>
        <w:rPr>
          <w:sz w:val="22"/>
        </w:rPr>
        <w:t xml:space="preserve">from August to September, but shipments, production, and demand were lower versus last year’s results. Total inventories decreased 133,000 tons month-on-month to 2.1 million tons and were 313,000 tons or 12.7 percent lower than in September last year. Total North American printing/writing </w:t>
      </w:r>
      <w:r>
        <w:rPr>
          <w:b/>
          <w:bCs/>
          <w:i/>
          <w:iCs/>
          <w:sz w:val="22"/>
        </w:rPr>
        <w:t>production</w:t>
      </w:r>
      <w:r>
        <w:rPr>
          <w:b/>
          <w:bCs/>
          <w:sz w:val="22"/>
        </w:rPr>
        <w:t xml:space="preserve"> </w:t>
      </w:r>
      <w:r>
        <w:rPr>
          <w:sz w:val="22"/>
        </w:rPr>
        <w:t xml:space="preserve">was down 11.0 percent in September compared with a year ago, to approximately 2.1 million tons. Total </w:t>
      </w:r>
      <w:r>
        <w:rPr>
          <w:b/>
          <w:bCs/>
          <w:i/>
          <w:iCs/>
          <w:sz w:val="22"/>
        </w:rPr>
        <w:t>shipments</w:t>
      </w:r>
      <w:r>
        <w:rPr>
          <w:b/>
          <w:bCs/>
          <w:sz w:val="22"/>
        </w:rPr>
        <w:t xml:space="preserve"> </w:t>
      </w:r>
      <w:r>
        <w:rPr>
          <w:sz w:val="22"/>
        </w:rPr>
        <w:t>were off 9.9 percent to 2.2 million tons. The industry shipments-to-capacity ratio in September was 84 percent</w:t>
      </w:r>
      <w:r>
        <w:rPr>
          <w:b/>
          <w:bCs/>
          <w:sz w:val="22"/>
        </w:rPr>
        <w:t xml:space="preserve">, </w:t>
      </w:r>
      <w:r>
        <w:rPr>
          <w:sz w:val="22"/>
        </w:rPr>
        <w:t xml:space="preserve">down from 88 percent in August and down from 96 percent a year ago. </w:t>
      </w:r>
    </w:p>
    <w:p>
      <w:pPr>
        <w:pStyle w:val="NormalWeb"/>
        <w:spacing w:before="120" w:after="100"/>
        <w:rPr/>
      </w:pPr>
      <w:r>
        <w:rPr>
          <w:rFonts w:cs="Times New Roman" w:ascii="Times New Roman" w:hAnsi="Times New Roman"/>
          <w:i/>
          <w:iCs/>
          <w:sz w:val="22"/>
        </w:rPr>
        <w:t xml:space="preserve">- </w:t>
      </w:r>
      <w:r>
        <w:rPr>
          <w:rFonts w:cs="Times New Roman" w:ascii="Times New Roman" w:hAnsi="Times New Roman"/>
          <w:b/>
          <w:bCs/>
          <w:i/>
          <w:iCs/>
          <w:color w:val="333333"/>
          <w:sz w:val="22"/>
        </w:rPr>
        <w:t>Georgia Pacific</w:t>
      </w:r>
      <w:r>
        <w:rPr>
          <w:rFonts w:cs="Times New Roman" w:ascii="Times New Roman" w:hAnsi="Times New Roman"/>
          <w:sz w:val="22"/>
        </w:rPr>
        <w:t xml:space="preserve"> is moving forward with a scheme to install a new tissue PM at its Gien mill in France. Trial runs at the 60,000 ton/yr unit are due to begin at the end of this year and commercial production will start next year.                             </w:t>
      </w:r>
      <w:r>
        <w:rPr>
          <w:rFonts w:cs="Times New Roman" w:ascii="Times New Roman" w:hAnsi="Times New Roman"/>
          <w:i/>
          <w:iCs/>
          <w:sz w:val="22"/>
        </w:rPr>
        <w:t xml:space="preserve">- </w:t>
      </w:r>
      <w:r>
        <w:rPr>
          <w:rFonts w:cs="Times New Roman" w:ascii="Times New Roman" w:hAnsi="Times New Roman"/>
          <w:b/>
          <w:bCs/>
          <w:i/>
          <w:iCs/>
          <w:color w:val="333333"/>
          <w:sz w:val="22"/>
        </w:rPr>
        <w:t>Burgo of Italy</w:t>
      </w:r>
      <w:r>
        <w:rPr>
          <w:rFonts w:cs="Times New Roman" w:ascii="Times New Roman" w:hAnsi="Times New Roman"/>
          <w:sz w:val="22"/>
        </w:rPr>
        <w:t xml:space="preserve"> has shut down the 60,000 ton/yr lightweight coated paper (LWC) unit in Italy. The shutdown follows the close of 40,000 ton/yr mediumweight coated machine. The two units will be replaced by a new 400,000 ton/yr LWC machine in November.                                                                                                                                                              </w:t>
      </w:r>
      <w:r>
        <w:rPr>
          <w:rFonts w:cs="Times New Roman" w:ascii="Times New Roman" w:hAnsi="Times New Roman"/>
          <w:color w:val="333333"/>
          <w:sz w:val="22"/>
        </w:rPr>
        <w:t xml:space="preserve">- </w:t>
      </w:r>
      <w:r>
        <w:rPr>
          <w:rFonts w:cs="Times New Roman" w:ascii="Times New Roman" w:hAnsi="Times New Roman"/>
          <w:b/>
          <w:bCs/>
          <w:i/>
          <w:iCs/>
          <w:color w:val="333333"/>
          <w:sz w:val="22"/>
        </w:rPr>
        <w:t>UPM-Kymmene</w:t>
      </w:r>
      <w:r>
        <w:rPr>
          <w:rFonts w:cs="Times New Roman" w:ascii="Times New Roman" w:hAnsi="Times New Roman"/>
          <w:sz w:val="22"/>
        </w:rPr>
        <w:t xml:space="preserve"> will rebuild its label paper machine at the Jamsankoski mill in Finland in order to increase its capacity from the current 110,000 t/yr to 140,000 t/yr.                                                                                                                          -</w:t>
      </w:r>
      <w:r>
        <w:rPr>
          <w:rFonts w:cs="Times New Roman" w:ascii="Times New Roman" w:hAnsi="Times New Roman"/>
          <w:b/>
          <w:bCs/>
          <w:i/>
          <w:iCs/>
          <w:color w:val="333333"/>
          <w:sz w:val="22"/>
        </w:rPr>
        <w:t>The Slovakian government</w:t>
      </w:r>
      <w:r>
        <w:rPr>
          <w:rFonts w:cs="Times New Roman" w:ascii="Times New Roman" w:hAnsi="Times New Roman"/>
          <w:sz w:val="22"/>
        </w:rPr>
        <w:t xml:space="preserve"> has approved the new integrated pulp and paper greenfield project, to be build in Southeastern Slovakia. The mill will have a pulp capacity of 300,000-350,000 t/yr and an unspecified amount of paper. The mill, which is expected to start production in three to five years, will meet increasing domestic demand and take advantage of the growing paper consumption in Eastern Europe.</w:t>
      </w:r>
    </w:p>
    <w:p>
      <w:pPr>
        <w:pStyle w:val="Normal"/>
        <w:autoSpaceDE w:val="false"/>
        <w:spacing w:before="120" w:after="0"/>
        <w:rPr>
          <w:b/>
          <w:bCs/>
        </w:rPr>
      </w:pPr>
      <w:r>
        <w:rPr>
          <w:b/>
          <w:bCs/>
        </w:rPr>
        <w:t xml:space="preserve">Price:                                                                                                                                                                                                                                                                                                                                                                                                                                                                                     </w:t>
      </w:r>
    </w:p>
    <w:p>
      <w:pPr>
        <w:pStyle w:val="BodyText"/>
        <w:autoSpaceDE w:val="false"/>
        <w:rPr>
          <w:sz w:val="22"/>
        </w:rPr>
      </w:pPr>
      <w:r>
        <w:rPr>
          <w:sz w:val="22"/>
        </w:rPr>
        <w:t>This week RISI published its pulp monthly index: for the first time this year NBSK increased by US$10 to US$480. The price increases were seen in almost all pulp grades delivered to the US and ranged from US$5-15. Pulp delivered to Europe saw similar price increases that ranged from US$10-30. The highest increase was seen in the BEK price. The pulp price improvements were in line with producers’ campaign launched earlier last month to increase prices</w:t>
      </w:r>
      <w:r>
        <w:rPr>
          <w:sz w:val="16"/>
        </w:rPr>
        <w:t>. (</w:t>
      </w:r>
      <w:r>
        <w:rPr>
          <w:i/>
          <w:iCs/>
          <w:sz w:val="16"/>
        </w:rPr>
        <w:t>See NBSK RISI index graph on next page</w:t>
      </w:r>
      <w:r>
        <w:rPr>
          <w:sz w:val="16"/>
        </w:rPr>
        <w:t>)</w:t>
      </w:r>
    </w:p>
    <w:p>
      <w:pPr>
        <w:pStyle w:val="Normal"/>
        <w:autoSpaceDE w:val="false"/>
        <w:rPr>
          <w:rFonts w:ascii="Arial" w:hAnsi="Arial" w:cs="Arial"/>
          <w:sz w:val="22"/>
          <w:szCs w:val="20"/>
        </w:rPr>
      </w:pPr>
      <w:r>
        <w:rPr>
          <w:sz w:val="22"/>
        </w:rPr>
        <w:t xml:space="preserve">Contrary to RISI prices, the FOEX index moved the other direction this week: </w:t>
      </w:r>
      <w:r>
        <w:rPr>
          <w:sz w:val="22"/>
          <w:szCs w:val="20"/>
        </w:rPr>
        <w:t xml:space="preserve">NBSK came down US$0.48 or 0.1 percent after four consecutive weeks of price increases. BHKP was Euro 466 down Euro 3.34 from last week. Expressed in US dollars BHKP was US$416.09 down US$2.33 or 0.56 percent. </w:t>
      </w:r>
    </w:p>
    <w:p>
      <w:pPr>
        <w:pStyle w:val="BodyText"/>
        <w:autoSpaceDE w:val="false"/>
        <w:rPr>
          <w:sz w:val="22"/>
        </w:rPr>
      </w:pPr>
      <w:r>
        <w:rPr>
          <w:sz w:val="22"/>
        </w:rPr>
        <w:t xml:space="preserve">This mixed price data indicates that while producer discipline has successfully shored up the supply side, demand remains weak. Market consensus is still pointing towards a Q2 2002 global economic recovery and a subsequent rise in pulp prices, albeit a slow one. </w:t>
      </w:r>
    </w:p>
    <w:p>
      <w:pPr>
        <w:pStyle w:val="BodyText"/>
        <w:autoSpaceDE w:val="false"/>
        <w:jc w:val="center"/>
        <w:rPr>
          <w:sz w:val="22"/>
        </w:rPr>
      </w:pPr>
      <w:r>
        <w:rPr>
          <w:sz w:val="22"/>
        </w:rPr>
      </w:r>
    </w:p>
    <w:p>
      <w:pPr>
        <w:pStyle w:val="BodyText"/>
        <w:autoSpaceDE w:val="false"/>
        <w:jc w:val="center"/>
        <w:rPr/>
      </w:pPr>
      <w:bookmarkStart w:id="0" w:name="_1066202311"/>
      <w:bookmarkEnd w:id="0"/>
      <w:r>
        <w:rPr/>
        <mc:AlternateContent>
          <mc:Choice Requires="wps">
            <w:drawing>
              <wp:anchor behindDoc="0" distT="0" distB="0" distL="114935" distR="114935" simplePos="0" locked="0" layoutInCell="1" allowOverlap="1" relativeHeight="5">
                <wp:simplePos x="0" y="0"/>
                <wp:positionH relativeFrom="column">
                  <wp:posOffset>4114800</wp:posOffset>
                </wp:positionH>
                <wp:positionV relativeFrom="paragraph">
                  <wp:posOffset>887095</wp:posOffset>
                </wp:positionV>
                <wp:extent cx="571500" cy="342900"/>
                <wp:effectExtent l="5080" t="5080" r="5715" b="5715"/>
                <wp:wrapNone/>
                <wp:docPr id="1" name=""/>
                <a:graphic xmlns:a="http://schemas.openxmlformats.org/drawingml/2006/main">
                  <a:graphicData uri="http://schemas.microsoft.com/office/word/2010/wordprocessingShape">
                    <wps:wsp>
                      <wps:cNvSpPr/>
                      <wps:spPr>
                        <a:xfrm>
                          <a:off x="0" y="0"/>
                          <a:ext cx="571680" cy="343080"/>
                        </a:xfrm>
                        <a:prstGeom prst="ellipse">
                          <a:avLst/>
                        </a:prstGeom>
                        <a:solidFill>
                          <a:srgbClr val="ffffff">
                            <a:alpha val="50000"/>
                          </a:srgbClr>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24pt;margin-top:69.85pt;width:44.95pt;height:26.95pt;mso-wrap-style:none;v-text-anchor:middle">
                <v:fill o:detectmouseclick="t" type="solid" color2="black" opacity="0.5"/>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7">
                <wp:simplePos x="0" y="0"/>
                <wp:positionH relativeFrom="column">
                  <wp:posOffset>4686300</wp:posOffset>
                </wp:positionH>
                <wp:positionV relativeFrom="paragraph">
                  <wp:posOffset>544195</wp:posOffset>
                </wp:positionV>
                <wp:extent cx="685800" cy="457200"/>
                <wp:effectExtent l="3175" t="0" r="0" b="4445"/>
                <wp:wrapNone/>
                <wp:docPr id="2" name=""/>
                <a:graphic xmlns:a="http://schemas.openxmlformats.org/drawingml/2006/main">
                  <a:graphicData uri="http://schemas.microsoft.com/office/word/2010/wordprocessingShape">
                    <wps:wsp>
                      <wps:cNvSpPr/>
                      <wps:spPr>
                        <a:xfrm flipV="1">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9pt,42.85pt" to="422.95pt,78.8pt" stroked="t" o:allowincell="f" style="position:absolute;flip:y">
                <v:stroke color="black" weight="9360" endarrow="block" endarrowwidth="medium" endarrowlength="medium" joinstyle="miter" endcap="flat"/>
                <v:fill o:detectmouseclick="t" on="false"/>
                <w10:wrap type="none"/>
              </v:line>
            </w:pict>
          </mc:Fallback>
        </mc:AlternateContent>
        <w:object w:dxaOrig="5121" w:dyaOrig="35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86.65pt;height:178.35pt" filled="f" o:ole="">
            <v:imagedata r:id="rId3" o:title=""/>
          </v:shape>
          <o:OLEObject Type="Embed" ProgID="Excel.Sheet.12" ShapeID="ole_rId2" DrawAspect="Content" ObjectID="_527583837" r:id="rId2"/>
        </w:object>
      </w:r>
      <w:r>
        <mc:AlternateContent>
          <mc:Choice Requires="wps">
            <w:drawing>
              <wp:anchor behindDoc="0" distT="0" distB="0" distL="114935" distR="114935" simplePos="0" locked="0" layoutInCell="1" allowOverlap="1" relativeHeight="6">
                <wp:simplePos x="0" y="0"/>
                <wp:positionH relativeFrom="column">
                  <wp:posOffset>5372100</wp:posOffset>
                </wp:positionH>
                <wp:positionV relativeFrom="paragraph">
                  <wp:posOffset>315595</wp:posOffset>
                </wp:positionV>
                <wp:extent cx="1485900" cy="571500"/>
                <wp:effectExtent l="0" t="0" r="0" b="0"/>
                <wp:wrapNone/>
                <wp:docPr id="3" name="Frame1"/>
                <a:graphic xmlns:a="http://schemas.openxmlformats.org/drawingml/2006/main">
                  <a:graphicData uri="http://schemas.microsoft.com/office/word/2010/wordprocessingShape">
                    <wps:wsp>
                      <wps:cNvSpPr txBox="1"/>
                      <wps:spPr>
                        <a:xfrm>
                          <a:off x="0" y="0"/>
                          <a:ext cx="1485900" cy="571500"/>
                        </a:xfrm>
                        <a:prstGeom prst="rect"/>
                        <a:solidFill>
                          <a:srgbClr val="FFFFFF"/>
                        </a:solidFill>
                      </wps:spPr>
                      <wps:txbx>
                        <w:txbxContent>
                          <w:p>
                            <w:pPr>
                              <w:pStyle w:val="Normal"/>
                              <w:rPr>
                                <w:sz w:val="16"/>
                              </w:rPr>
                            </w:pPr>
                            <w:r>
                              <w:rPr>
                                <w:sz w:val="16"/>
                              </w:rPr>
                              <w:t>World inventories continue to drop as we see the first price increase this year</w:t>
                            </w:r>
                          </w:p>
                        </w:txbxContent>
                      </wps:txbx>
                      <wps:bodyPr anchor="t" lIns="92075" tIns="46355" rIns="92075" bIns="46355">
                        <a:noAutofit/>
                      </wps:bodyPr>
                    </wps:wsp>
                  </a:graphicData>
                </a:graphic>
              </wp:anchor>
            </w:drawing>
          </mc:Choice>
          <mc:Fallback>
            <w:pict>
              <v:rect fillcolor="#FFFFFF" style="position:absolute;rotation:-0;width:117pt;height:45pt;mso-wrap-distance-left:9.05pt;mso-wrap-distance-right:9.05pt;mso-wrap-distance-top:0pt;mso-wrap-distance-bottom:0pt;margin-top:24.85pt;mso-position-vertical-relative:text;margin-left:423pt;mso-position-horizontal-relative:text">
                <v:textbox inset="0.100694444444444in,0.0506944444444444in,0.100694444444444in,0.0506944444444444in">
                  <w:txbxContent>
                    <w:p>
                      <w:pPr>
                        <w:pStyle w:val="Normal"/>
                        <w:rPr>
                          <w:sz w:val="16"/>
                        </w:rPr>
                      </w:pPr>
                      <w:r>
                        <w:rPr>
                          <w:sz w:val="16"/>
                        </w:rPr>
                        <w:t>World inventories continue to drop as we see the first price increase this year</w:t>
                      </w:r>
                    </w:p>
                  </w:txbxContent>
                </v:textbox>
                <w10:wrap type="none"/>
              </v:rect>
            </w:pict>
          </mc:Fallback>
        </mc:AlternateContent>
      </w:r>
    </w:p>
    <w:p>
      <w:pPr>
        <w:pStyle w:val="BodyText"/>
        <w:autoSpaceDE w:val="false"/>
        <w:jc w:val="center"/>
        <w:rPr>
          <w:i/>
          <w:i/>
          <w:iCs/>
          <w:sz w:val="18"/>
        </w:rPr>
      </w:pPr>
      <w:r>
        <w:rPr>
          <w:i/>
          <w:iCs/>
          <w:sz w:val="18"/>
        </w:rPr>
        <w:t>Source: RISI, PPPC</w:t>
      </w:r>
    </w:p>
    <w:sectPr>
      <w:headerReference w:type="default" r:id="rId4"/>
      <w:footerReference w:type="default" r:id="rId5"/>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2001-11-01T15:08:00Z</dcterms:created>
  <dc:creator>vsingh3</dc:creator>
  <dc:description/>
  <dc:language>en-CA</dc:language>
  <cp:lastModifiedBy>mcaushol</cp:lastModifiedBy>
  <cp:lastPrinted>2001-11-02T07:47:00Z</cp:lastPrinted>
  <dcterms:modified xsi:type="dcterms:W3CDTF">2001-11-02T14:47:00Z</dcterms:modified>
  <cp:revision>105</cp:revision>
  <dc:subject/>
  <dc:title>                                                                                                       </dc:title>
</cp:coreProperties>
</file>