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p>
      <w:pPr>
        <w:pStyle w:val="Heading8"/>
        <w:ind w:hanging="0" w:start="0"/>
        <w:rPr/>
      </w:pPr>
      <w:r>
        <w:rPr/>
        <w:t xml:space="preserve"> </w:t>
      </w:r>
    </w:p>
    <w:p>
      <w:pPr>
        <w:pStyle w:val="Normal"/>
        <w:rPr/>
      </w:pPr>
      <w:r>
        <w:rPr/>
      </w:r>
    </w:p>
    <w:p>
      <w:pPr>
        <w:pStyle w:val="Heading8"/>
        <w:ind w:hanging="0" w:start="0"/>
        <w:rPr>
          <w:sz w:val="22"/>
        </w:rPr>
      </w:pPr>
      <w:r>
        <w:rPr>
          <w:sz w:val="22"/>
        </w:rPr>
        <w:t>Supply-side news</w:t>
      </w:r>
    </w:p>
    <w:p>
      <w:pPr>
        <w:pStyle w:val="Heading8"/>
        <w:ind w:hanging="0" w:start="0"/>
        <w:rPr>
          <w:sz w:val="22"/>
        </w:rPr>
      </w:pPr>
      <w:r>
        <w:rPr>
          <w:sz w:val="22"/>
        </w:rPr>
        <w:t xml:space="preserve">  </w:t>
      </w:r>
    </w:p>
    <w:p>
      <w:pPr>
        <w:pStyle w:val="Heading8"/>
        <w:ind w:hanging="0" w:start="0"/>
        <w:rPr>
          <w:b w:val="false"/>
          <w:sz w:val="22"/>
        </w:rPr>
      </w:pPr>
      <w:r>
        <w:rPr>
          <w:b w:val="false"/>
          <w:sz w:val="22"/>
        </w:rPr>
        <w:t xml:space="preserve">North American market pulp producers announced an estimated 182,250 mtons of downtime for September, bringing total estimated downtime for the quarter to 870,750 mtons, 33% more than the prior quarter.  However, the pace of downtime slowed considerably from August’s level of 348,750 mtons and more announcements may be required to make the </w:t>
      </w:r>
    </w:p>
    <w:p>
      <w:pPr>
        <w:pStyle w:val="Heading8"/>
        <w:ind w:hanging="0" w:start="0"/>
        <w:rPr/>
      </w:pPr>
      <w:r>
        <w:rPr>
          <w:b w:val="false"/>
          <w:sz w:val="22"/>
        </w:rPr>
        <w:t xml:space="preserve">recently-announced price hikes stick.  </w:t>
      </w:r>
      <w:r>
        <w:rPr>
          <w:sz w:val="22"/>
        </w:rPr>
        <w:t xml:space="preserve">                                                         </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South African eucalyptus market pulp producer Mondi Kraft (owned by the Anglo American group) announced a 30,000 mton curtailment at its Richards Bay mill.  The curtailment is the result of the company’s recent installation of an oxygen delignification plant which will enable it to produce 100% ECF bleached pulp.  The mill’s total capacity is 575,000 tpy, 60% of which is sold as market pulp.</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 xml:space="preserve">Brazil’s third-largest pulp producer, VCP, purchased 28% of Brazil’s largest pulp producer, Aracruz from Mondi Brazil (part of  South Africa’s Anglo American group).  The move may be an attempt to continue the country’s trend of consolidation in its pulp and paper industry which began last year.  Earlier this summer VCP and Aracruz  lost out to a consortium of Japanese buyers in a joint bid for Cenibra’s pulp assets.  </w:t>
      </w:r>
    </w:p>
    <w:p>
      <w:pPr>
        <w:pStyle w:val="Header"/>
        <w:tabs>
          <w:tab w:val="clear" w:pos="4320"/>
          <w:tab w:val="clear" w:pos="8640"/>
        </w:tabs>
        <w:rPr>
          <w:sz w:val="22"/>
        </w:rPr>
      </w:pPr>
      <w:r>
        <w:rPr>
          <w:sz w:val="22"/>
        </w:rPr>
      </w:r>
    </w:p>
    <w:p>
      <w:pPr>
        <w:pStyle w:val="Header"/>
        <w:tabs>
          <w:tab w:val="clear" w:pos="4320"/>
          <w:tab w:val="clear" w:pos="8640"/>
        </w:tabs>
        <w:rPr>
          <w:b/>
          <w:sz w:val="22"/>
        </w:rPr>
      </w:pPr>
      <w:r>
        <w:rPr>
          <w:b/>
          <w:sz w:val="22"/>
        </w:rPr>
        <w:t>Demand-side news</w:t>
      </w:r>
    </w:p>
    <w:p>
      <w:pPr>
        <w:pStyle w:val="Header"/>
        <w:tabs>
          <w:tab w:val="clear" w:pos="4320"/>
          <w:tab w:val="clear" w:pos="8640"/>
        </w:tabs>
        <w:rPr>
          <w:b/>
          <w:sz w:val="22"/>
        </w:rPr>
      </w:pPr>
      <w:r>
        <w:rPr>
          <w:b/>
          <w:sz w:val="22"/>
        </w:rPr>
      </w:r>
    </w:p>
    <w:p>
      <w:pPr>
        <w:pStyle w:val="Header"/>
        <w:tabs>
          <w:tab w:val="clear" w:pos="4320"/>
          <w:tab w:val="clear" w:pos="8640"/>
        </w:tabs>
        <w:rPr>
          <w:sz w:val="22"/>
        </w:rPr>
      </w:pPr>
      <w:r>
        <w:rPr>
          <w:sz w:val="22"/>
        </w:rPr>
        <w:t>ICT Poland, a wholly owned subsidiary of Italy’s Industrie Cartarie Tronchette, started up a 50,000 tpy tissue machine at its greenfield mill in Poland’s Kostrzyn-Slubice region.  Originally ICT planned to construct a 26,000 tpy machine, but increased the capacity in answer to greater demand.</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LWC capacity increases in China continue moving forward as Shandong Taishan Paper confirmed that it will continue with its plans to install a 100,000 tpy LWC paper machine at its mill in Shandong province.  The expansion would more than double the mill’s current capacity of 80,000 tpy with a start-up slated for late 2002.  Market observers believe that these capacity increases are at least partially responsible for the region’s recent ramp up in pulp purchases, particularly eucalyptus.</w:t>
      </w:r>
    </w:p>
    <w:p>
      <w:pPr>
        <w:pStyle w:val="Header"/>
        <w:tabs>
          <w:tab w:val="clear" w:pos="4320"/>
          <w:tab w:val="clear" w:pos="8640"/>
        </w:tabs>
        <w:rPr>
          <w:sz w:val="22"/>
        </w:rPr>
      </w:pPr>
      <w:r>
        <w:rPr>
          <w:sz w:val="22"/>
        </w:rPr>
      </w:r>
    </w:p>
    <w:p>
      <w:pPr>
        <w:pStyle w:val="Normal"/>
        <w:autoSpaceDE w:val="false"/>
        <w:rPr>
          <w:b/>
          <w:sz w:val="22"/>
        </w:rPr>
      </w:pPr>
      <w:r>
        <w:rPr>
          <w:b/>
          <w:sz w:val="22"/>
        </w:rPr>
        <w:t>Price</w:t>
      </w:r>
    </w:p>
    <w:p>
      <w:pPr>
        <w:pStyle w:val="Normal"/>
        <w:autoSpaceDE w:val="false"/>
        <w:rPr>
          <w:b/>
          <w:i/>
          <w:i/>
          <w:sz w:val="22"/>
        </w:rPr>
      </w:pPr>
      <w:r>
        <w:rPr>
          <w:b/>
          <w:i/>
          <w:sz w:val="22"/>
        </w:rPr>
      </w:r>
    </w:p>
    <w:p>
      <w:pPr>
        <w:pStyle w:val="Normal"/>
        <w:autoSpaceDE w:val="false"/>
        <w:rPr/>
      </w:pPr>
      <w:r>
        <w:rPr>
          <w:i/>
          <w:sz w:val="22"/>
        </w:rPr>
        <w:t>U.S.</w:t>
      </w:r>
      <w:r>
        <w:rPr>
          <w:sz w:val="22"/>
        </w:rPr>
        <w:t xml:space="preserve"> -  RISI published its monthly index for September and showed no change from August in its benchmark NBSK price of US$470/mton. </w:t>
      </w:r>
    </w:p>
    <w:p>
      <w:pPr>
        <w:pStyle w:val="Normal"/>
        <w:autoSpaceDE w:val="false"/>
        <w:rPr>
          <w:sz w:val="22"/>
        </w:rPr>
      </w:pPr>
      <w:r>
        <w:rPr>
          <w:sz w:val="22"/>
        </w:rPr>
      </w:r>
    </w:p>
    <w:p>
      <w:pPr>
        <w:pStyle w:val="Normal"/>
        <w:autoSpaceDE w:val="false"/>
        <w:rPr>
          <w:b/>
        </w:rPr>
      </w:pPr>
      <w:r>
        <w:rPr>
          <w:i/>
          <w:sz w:val="22"/>
        </w:rPr>
        <w:t>Europe</w:t>
      </w:r>
      <w:r>
        <w:rPr>
          <w:sz w:val="22"/>
        </w:rPr>
        <w:t xml:space="preserve"> - The FOEX NBSK index registered its first rise in prices this year with a 0.25% increase bringing the index to US$451.13/mton.  The BHK index, a mixture of eucalyptus and birch, rose 1.6% (as measured in Euros) to Euro 443.73/mton and 0.5%(as measured in US$) to US$407.11/mton</w:t>
      </w:r>
      <w:r>
        <w:rPr>
          <w:rStyle w:val="FootnoteCharacters"/>
          <w:rStyle w:val="FootnoteReference"/>
          <w:sz w:val="22"/>
        </w:rPr>
        <w:footnoteReference w:id="2"/>
      </w:r>
      <w:r>
        <w:rPr>
          <w:sz w:val="22"/>
        </w:rPr>
        <w:t>.  Although some observers believed this was a reflection of the recently announced producer price hikes made effective October 1</w:t>
      </w:r>
      <w:r>
        <w:rPr>
          <w:sz w:val="22"/>
          <w:vertAlign w:val="superscript"/>
        </w:rPr>
        <w:t>st</w:t>
      </w:r>
      <w:r>
        <w:rPr>
          <w:sz w:val="22"/>
        </w:rPr>
        <w:t>, there is still uncertainty about whether the increases will be anything more than a short-term phenomenon driven by inventory restocking.  The release of Norscan September inventory data is expected to help the market find direction.</w:t>
      </w:r>
      <w:r>
        <w:rPr/>
        <w:t xml:space="preserve">  </w:t>
      </w:r>
    </w:p>
    <w:p>
      <w:pPr>
        <w:pStyle w:val="BodyText"/>
        <w:autoSpaceDE w:val="false"/>
        <w:rPr>
          <w:b/>
          <w:sz w:val="22"/>
        </w:rPr>
      </w:pPr>
      <w:r>
        <w:rPr>
          <w:b/>
          <w:sz w:val="22"/>
        </w:rPr>
      </w:r>
    </w:p>
    <w:sectPr>
      <w:headerReference w:type="default" r:id="rId2"/>
      <w:footerReference w:type="default" r:id="rId3"/>
      <w:footnotePr>
        <w:numFmt w:val="decimal"/>
      </w:footnotePr>
      <w:type w:val="nextPage"/>
      <w:pgSz w:w="12240" w:h="15840"/>
      <w:pgMar w:left="576" w:right="432"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sz w:val="18"/>
      </w:rPr>
    </w:pPr>
    <w:r>
      <w:rPr>
        <w:i/>
        <w:sz w:val="18"/>
      </w:rPr>
      <w:fldChar w:fldCharType="begin"/>
    </w:r>
    <w:r>
      <w:rPr>
        <w:sz w:val="18"/>
        <w:i/>
      </w:rPr>
      <w:instrText xml:space="preserve"> DATE \@"M\/d\/yyyy" </w:instrText>
    </w:r>
    <w:r>
      <w:rPr>
        <w:sz w:val="18"/>
        <w:i/>
      </w:rPr>
      <w:fldChar w:fldCharType="separate"/>
    </w:r>
    <w:r>
      <w:rPr>
        <w:sz w:val="18"/>
        <w:i/>
      </w:rPr>
      <w:t>9/28/2025</w:t>
    </w:r>
    <w:r>
      <w:rPr>
        <w:sz w:val="18"/>
        <w:i/>
      </w:rPr>
      <w:fldChar w:fldCharType="end"/>
    </w:r>
  </w:p>
  <w:p>
    <w:pPr>
      <w:pStyle w:val="Footer"/>
      <w:rPr>
        <w:i/>
        <w:i/>
        <w:sz w:val="18"/>
      </w:rPr>
    </w:pPr>
    <w:r>
      <w:rPr>
        <w:i/>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Note that the US$ appreciated approximately 1% vis-à-vis the Euro during the period.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2001-10-05T01:28:00Z</dcterms:created>
  <dc:creator>vsingh3</dc:creator>
  <dc:description/>
  <dc:language>en-CA</dc:language>
  <cp:lastModifiedBy>R and K CARTER</cp:lastModifiedBy>
  <cp:lastPrinted>2001-10-04T16:57:00Z</cp:lastPrinted>
  <dcterms:modified xsi:type="dcterms:W3CDTF">2001-10-05T01:28:00Z</dcterms:modified>
  <cp:revision>2</cp:revision>
  <dc:subject/>
  <dc:title>                                                                                                       </dc:title>
</cp:coreProperties>
</file>