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sz w:val="20"/>
        </w:rPr>
      </w:pPr>
      <w:r>
        <w:rPr>
          <w:sz w:val="20"/>
        </w:rPr>
      </w:r>
    </w:p>
    <w:p>
      <w:pPr>
        <w:pStyle w:val="Heading8"/>
        <w:ind w:hanging="0" w:start="0"/>
        <w:rPr/>
      </w:pPr>
      <w:r>
        <w:rPr/>
        <w:t xml:space="preserve"> </w:t>
      </w:r>
    </w:p>
    <w:p>
      <w:pPr>
        <w:pStyle w:val="Normal"/>
        <w:rPr/>
      </w:pPr>
      <w:r>
        <w:rPr/>
      </w:r>
    </w:p>
    <w:p>
      <w:pPr>
        <w:pStyle w:val="Heading8"/>
        <w:ind w:hanging="0" w:start="0"/>
        <w:rPr>
          <w:sz w:val="22"/>
        </w:rPr>
      </w:pPr>
      <w:r>
        <w:rPr>
          <w:sz w:val="22"/>
        </w:rPr>
        <w:t>Supply-side news</w:t>
      </w:r>
    </w:p>
    <w:p>
      <w:pPr>
        <w:pStyle w:val="Heading8"/>
        <w:ind w:hanging="0" w:start="0"/>
        <w:rPr>
          <w:sz w:val="22"/>
        </w:rPr>
      </w:pPr>
      <w:r>
        <w:rPr>
          <w:sz w:val="22"/>
        </w:rPr>
        <w:t xml:space="preserve">  </w:t>
      </w:r>
    </w:p>
    <w:p>
      <w:pPr>
        <w:pStyle w:val="Heading8"/>
        <w:ind w:hanging="0" w:start="0"/>
        <w:rPr>
          <w:b w:val="false"/>
          <w:sz w:val="22"/>
        </w:rPr>
      </w:pPr>
      <w:r>
        <w:rPr>
          <w:b w:val="false"/>
          <w:sz w:val="22"/>
        </w:rPr>
        <w:t xml:space="preserve">North American market pulp producers announced an estimated 182,250 mtons of downtime for September, bringing total estimated downtime for the quarter to 870,750 mtons, 33% more than the prior quarter.  However, the pace of downtime slowed considerably from August’s level of 348,750 mtons and more announcements may be required to make the </w:t>
      </w:r>
    </w:p>
    <w:p>
      <w:pPr>
        <w:pStyle w:val="Heading8"/>
        <w:ind w:hanging="0" w:start="0"/>
        <w:rPr/>
      </w:pPr>
      <w:r>
        <w:rPr>
          <w:b w:val="false"/>
          <w:sz w:val="22"/>
        </w:rPr>
        <w:t xml:space="preserve">recently-announced price hikes stick.  </w:t>
      </w:r>
      <w:r>
        <w:rPr>
          <w:sz w:val="22"/>
        </w:rPr>
        <w:t xml:space="preserve">                                                         </w:t>
      </w:r>
    </w:p>
    <w:p>
      <w:pPr>
        <w:pStyle w:val="Header"/>
        <w:tabs>
          <w:tab w:val="clear" w:pos="4320"/>
          <w:tab w:val="clear" w:pos="8640"/>
        </w:tabs>
        <w:rPr>
          <w:sz w:val="22"/>
        </w:rPr>
      </w:pPr>
      <w:r>
        <w:rPr>
          <w:sz w:val="22"/>
        </w:rPr>
      </w:r>
    </w:p>
    <w:p>
      <w:pPr>
        <w:pStyle w:val="Header"/>
        <w:tabs>
          <w:tab w:val="clear" w:pos="4320"/>
          <w:tab w:val="clear" w:pos="8640"/>
        </w:tabs>
        <w:rPr>
          <w:sz w:val="22"/>
        </w:rPr>
      </w:pPr>
      <w:r>
        <w:rPr>
          <w:sz w:val="22"/>
        </w:rPr>
        <w:t>South African eucalyptus market pulp producer Mondi Kraft (owned by the Anglo American group) announced a 30,000 mton curtailment at its Richards Bay mill.  The curtailment is the result of the company’s recent installation of an oxygen delignification plant which will enable it to produce 100% ECF bleached pulp.  The mill’s total capacity is 575,000 tpy, 60% of which is sold as market pulp.</w:t>
      </w:r>
    </w:p>
    <w:p>
      <w:pPr>
        <w:pStyle w:val="Header"/>
        <w:tabs>
          <w:tab w:val="clear" w:pos="4320"/>
          <w:tab w:val="clear" w:pos="8640"/>
        </w:tabs>
        <w:rPr>
          <w:sz w:val="22"/>
        </w:rPr>
      </w:pPr>
      <w:r>
        <w:rPr>
          <w:sz w:val="22"/>
        </w:rPr>
      </w:r>
    </w:p>
    <w:p>
      <w:pPr>
        <w:pStyle w:val="Header"/>
        <w:tabs>
          <w:tab w:val="clear" w:pos="4320"/>
          <w:tab w:val="clear" w:pos="8640"/>
        </w:tabs>
        <w:rPr>
          <w:sz w:val="22"/>
        </w:rPr>
      </w:pPr>
      <w:r>
        <w:rPr>
          <w:sz w:val="22"/>
        </w:rPr>
        <w:t xml:space="preserve">Brazil’s third-largest pulp producer, VCP, purchased 28% of Brazil’s largest pulp producer, Aracruz from Mondi Brazil (part of South Africa’s Anglo American group).  The move may be an attempt to continue the country’s trend of consolidation in its pulp and paper industry which began last year.  Earlier this summer VCP and Aracruz lost out to a consortium of Japanese buyers in a joint bid for Cenibra’s pulp assets.  </w:t>
      </w:r>
    </w:p>
    <w:p>
      <w:pPr>
        <w:pStyle w:val="Header"/>
        <w:tabs>
          <w:tab w:val="clear" w:pos="4320"/>
          <w:tab w:val="clear" w:pos="8640"/>
        </w:tabs>
        <w:rPr>
          <w:sz w:val="22"/>
        </w:rPr>
      </w:pPr>
      <w:r>
        <w:rPr>
          <w:sz w:val="22"/>
        </w:rPr>
      </w:r>
    </w:p>
    <w:p>
      <w:pPr>
        <w:pStyle w:val="Header"/>
        <w:tabs>
          <w:tab w:val="clear" w:pos="4320"/>
          <w:tab w:val="clear" w:pos="8640"/>
        </w:tabs>
        <w:rPr>
          <w:b/>
          <w:sz w:val="22"/>
        </w:rPr>
      </w:pPr>
      <w:r>
        <w:rPr>
          <w:b/>
          <w:sz w:val="22"/>
        </w:rPr>
        <w:t>Demand-side news</w:t>
      </w:r>
    </w:p>
    <w:p>
      <w:pPr>
        <w:pStyle w:val="Header"/>
        <w:tabs>
          <w:tab w:val="clear" w:pos="4320"/>
          <w:tab w:val="clear" w:pos="8640"/>
        </w:tabs>
        <w:rPr>
          <w:b/>
          <w:sz w:val="22"/>
        </w:rPr>
      </w:pPr>
      <w:r>
        <w:rPr>
          <w:b/>
          <w:sz w:val="22"/>
        </w:rPr>
      </w:r>
    </w:p>
    <w:p>
      <w:pPr>
        <w:pStyle w:val="Header"/>
        <w:tabs>
          <w:tab w:val="clear" w:pos="4320"/>
          <w:tab w:val="clear" w:pos="8640"/>
        </w:tabs>
        <w:rPr>
          <w:sz w:val="22"/>
        </w:rPr>
      </w:pPr>
      <w:r>
        <w:rPr>
          <w:sz w:val="22"/>
        </w:rPr>
        <w:t>ICT Poland, a wholly owned subsidiary of Italy’s Industrie Cartarie Tronchette, started up a 50,000 tpy tissue machine at its greenfield mill in Poland’s Kostrzyn-Slubice region.  Originally ICT planned to construct a 26,000 tpy machine, but increased the capacity in answer to greater demand.</w:t>
      </w:r>
    </w:p>
    <w:p>
      <w:pPr>
        <w:pStyle w:val="Header"/>
        <w:tabs>
          <w:tab w:val="clear" w:pos="4320"/>
          <w:tab w:val="clear" w:pos="8640"/>
        </w:tabs>
        <w:rPr>
          <w:sz w:val="22"/>
        </w:rPr>
      </w:pPr>
      <w:r>
        <w:rPr>
          <w:sz w:val="22"/>
        </w:rPr>
      </w:r>
    </w:p>
    <w:p>
      <w:pPr>
        <w:pStyle w:val="Header"/>
        <w:tabs>
          <w:tab w:val="clear" w:pos="4320"/>
          <w:tab w:val="clear" w:pos="8640"/>
        </w:tabs>
        <w:rPr>
          <w:sz w:val="22"/>
        </w:rPr>
      </w:pPr>
      <w:r>
        <w:rPr>
          <w:sz w:val="22"/>
        </w:rPr>
        <w:t>LWC capacity increases in China continue moving forward as Shandong Taishan Paper confirmed that it will continue with its plans to install a 100,000 tpy LWC paper machine at its mill in Shandong province.  The expansion would more than double the mill’s current capacity of 80,000 tpy with a start-up slated for late 2002.  Market observers believe that these capacity increases are at least partially responsible for the region’s recent ramp up in pulp purchases, particularly eucalyptus.</w:t>
      </w:r>
    </w:p>
    <w:p>
      <w:pPr>
        <w:pStyle w:val="Header"/>
        <w:tabs>
          <w:tab w:val="clear" w:pos="4320"/>
          <w:tab w:val="clear" w:pos="8640"/>
        </w:tabs>
        <w:rPr>
          <w:sz w:val="22"/>
        </w:rPr>
      </w:pPr>
      <w:r>
        <w:rPr>
          <w:sz w:val="22"/>
        </w:rPr>
      </w:r>
    </w:p>
    <w:p>
      <w:pPr>
        <w:pStyle w:val="Normal"/>
        <w:autoSpaceDE w:val="false"/>
        <w:rPr>
          <w:b/>
          <w:sz w:val="22"/>
        </w:rPr>
      </w:pPr>
      <w:r>
        <w:rPr>
          <w:b/>
          <w:sz w:val="22"/>
        </w:rPr>
        <w:t>Price</w:t>
      </w:r>
    </w:p>
    <w:p>
      <w:pPr>
        <w:pStyle w:val="Normal"/>
        <w:autoSpaceDE w:val="false"/>
        <w:rPr>
          <w:b/>
          <w:i/>
          <w:i/>
          <w:sz w:val="22"/>
        </w:rPr>
      </w:pPr>
      <w:r>
        <w:rPr>
          <w:b/>
          <w:i/>
          <w:sz w:val="22"/>
        </w:rPr>
      </w:r>
    </w:p>
    <w:p>
      <w:pPr>
        <w:pStyle w:val="Normal"/>
        <w:autoSpaceDE w:val="false"/>
        <w:rPr/>
      </w:pPr>
      <w:r>
        <w:rPr>
          <w:i/>
          <w:sz w:val="22"/>
        </w:rPr>
        <w:t>U.S.</w:t>
      </w:r>
      <w:r>
        <w:rPr>
          <w:sz w:val="22"/>
        </w:rPr>
        <w:t xml:space="preserve"> - RISI published its monthly index for September and showed no change from August in its benchmark NBSK price of US$470/mton. </w:t>
      </w:r>
    </w:p>
    <w:p>
      <w:pPr>
        <w:pStyle w:val="Normal"/>
        <w:autoSpaceDE w:val="false"/>
        <w:rPr>
          <w:sz w:val="22"/>
        </w:rPr>
      </w:pPr>
      <w:r>
        <w:rPr>
          <w:sz w:val="22"/>
        </w:rPr>
      </w:r>
    </w:p>
    <w:p>
      <w:pPr>
        <w:pStyle w:val="Normal"/>
        <w:autoSpaceDE w:val="false"/>
        <w:rPr>
          <w:b/>
        </w:rPr>
      </w:pPr>
      <w:r>
        <w:rPr>
          <w:i/>
          <w:sz w:val="22"/>
        </w:rPr>
        <w:t>Europe</w:t>
      </w:r>
      <w:r>
        <w:rPr>
          <w:sz w:val="22"/>
        </w:rPr>
        <w:t xml:space="preserve"> - The FOEX NBSK index registered its first rise in prices this year with a 0.25% increase bringing the index to US$451.13/mton.  The BHK index, a mixture of eucalyptus and birch, rose 1.6% (as measured in Euros) to Euro 443.73/mton and 0.5% (as measured in US$) to US$407.11/mton</w:t>
      </w:r>
      <w:r>
        <w:rPr>
          <w:rStyle w:val="FootnoteCharacters"/>
          <w:rStyle w:val="FootnoteReference"/>
          <w:sz w:val="22"/>
        </w:rPr>
        <w:footnoteReference w:id="2"/>
      </w:r>
      <w:r>
        <w:rPr>
          <w:sz w:val="22"/>
        </w:rPr>
        <w:t>.  Although some observers believed this was a reflection of the recently announced producer price hikes made effective October 1</w:t>
      </w:r>
      <w:r>
        <w:rPr>
          <w:sz w:val="22"/>
          <w:vertAlign w:val="superscript"/>
        </w:rPr>
        <w:t>st</w:t>
      </w:r>
      <w:r>
        <w:rPr>
          <w:sz w:val="22"/>
        </w:rPr>
        <w:t>, there is still uncertainty about whether the increases will be anything more than a short-term phenomenon driven by inventory restocking.  The release of Norscan September inventory data is expected to help the market find direction.</w:t>
      </w:r>
      <w:r>
        <w:rPr/>
        <w:t xml:space="preserve">  </w:t>
      </w:r>
    </w:p>
    <w:p>
      <w:pPr>
        <w:pStyle w:val="BodyText"/>
        <w:autoSpaceDE w:val="false"/>
        <w:rPr>
          <w:b/>
          <w:sz w:val="22"/>
        </w:rPr>
      </w:pPr>
      <w:r>
        <w:rPr>
          <w:b/>
          <w:sz w:val="22"/>
        </w:rPr>
      </w:r>
    </w:p>
    <w:sectPr>
      <w:headerReference w:type="default" r:id="rId2"/>
      <w:footerReference w:type="default" r:id="rId3"/>
      <w:footnotePr>
        <w:numFmt w:val="decimal"/>
      </w:footnotePr>
      <w:type w:val="nextPage"/>
      <w:pgSz w:w="12240" w:h="15840"/>
      <w:pgMar w:left="576" w:right="432" w:gutter="0" w:header="360" w:top="432" w:footer="36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i/>
        <w:i/>
        <w:sz w:val="18"/>
      </w:rPr>
    </w:pPr>
    <w:r>
      <w:rPr>
        <w:i/>
        <w:sz w:val="18"/>
      </w:rPr>
      <w:fldChar w:fldCharType="begin"/>
    </w:r>
    <w:r>
      <w:rPr>
        <w:sz w:val="18"/>
        <w:i/>
      </w:rPr>
      <w:instrText xml:space="preserve"> DATE \@"M\/d\/yyyy" </w:instrText>
    </w:r>
    <w:r>
      <w:rPr>
        <w:sz w:val="18"/>
        <w:i/>
      </w:rPr>
      <w:fldChar w:fldCharType="separate"/>
    </w:r>
    <w:r>
      <w:rPr>
        <w:sz w:val="18"/>
        <w:i/>
      </w:rPr>
      <w:t>9/28/2025</w:t>
    </w:r>
    <w:r>
      <w:rPr>
        <w:sz w:val="18"/>
        <w:i/>
      </w:rPr>
      <w:fldChar w:fldCharType="end"/>
    </w:r>
  </w:p>
  <w:p>
    <w:pPr>
      <w:pStyle w:val="Footer"/>
      <w:rPr>
        <w:i/>
        <w:i/>
        <w:sz w:val="18"/>
      </w:rPr>
    </w:pPr>
    <w:r>
      <w:rPr>
        <w:i/>
        <w:sz w:val="18"/>
      </w:rPr>
      <w:t>Internal Use Only</w:t>
    </w:r>
  </w:p>
  <w:p>
    <w:pPr>
      <w:pStyle w:val="Normal"/>
      <w:rPr>
        <w:sz w:val="14"/>
      </w:rPr>
    </w:pPr>
    <w:r>
      <w:rPr>
        <w:sz w:val="14"/>
      </w:rPr>
      <w:t>Enron Industrial Markets and its affiliates are engaged in the trading of forest products and related commodities, and swaps, options, forwards and other derivatives on such commodities, for their own accounts and such trading could affect the markets for or prices of such commodities or derivatives.  The markets for and prices of such commodities and derivatives could also be affected by a variety of other factors, including supply and distribution factors, activities of other market participants and economic conditions generally.  Enron Industrial Markets and its affiliates assume no liability or responsibility for the accuracy or completeness of any information contained herein or for ensuring that any such information is current or updated.  The views set forth herein are intended solely for the personal use of the recipient, should not form the principal basis for any investment or trading decision and are not intended as advice or as a recommendation or solicitation of any transaction.  The user is solely responsible for any investment or trading decisions made on the basis of this information.  The information set forth herein is subject to change without notice at any time.</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Note that the US$ appreciated approximately 1% vis-à-vis the Euro during the period.</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5220" w:leader="none"/>
        <w:tab w:val="center" w:pos="9900" w:leader="none"/>
      </w:tabs>
      <w:rPr/>
    </w:pPr>
    <w:r>
      <w:rPr/>
      <w:drawing>
        <wp:inline distT="0" distB="0" distL="0" distR="0">
          <wp:extent cx="7127240" cy="84137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5" t="-40" r="-5" b="-40"/>
                  <a:stretch>
                    <a:fillRect/>
                  </a:stretch>
                </pic:blipFill>
                <pic:spPr bwMode="auto">
                  <a:xfrm>
                    <a:off x="0" y="0"/>
                    <a:ext cx="7127240" cy="841375"/>
                  </a:xfrm>
                  <a:prstGeom prst="rect">
                    <a:avLst/>
                  </a:prstGeom>
                  <a:noFill/>
                </pic:spPr>
              </pic:pic>
            </a:graphicData>
          </a:graphic>
        </wp:inline>
      </w:drawing>
    </w:r>
    <w:r>
      <w:rPr/>
      <w:t xml:space="preserve"> </w:t>
    </w:r>
    <w:r>
      <w:rPr>
        <w:rFonts w:cs="Arial" w:ascii="Arial" w:hAnsi="Arial"/>
        <w:b/>
        <w:sz w:val="20"/>
      </w:rPr>
      <w:t>Dave Allan X5-2644</w:t>
      <w:tab/>
      <w:t>Karen Carter X3-0991</w:t>
      <w:tab/>
      <w:t>Monika Causholli X5-1510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360" w:end="0"/>
      <w:outlineLvl w:val="0"/>
    </w:pPr>
    <w:rPr>
      <w:b/>
      <w:bCs/>
      <w:i/>
      <w:iCs/>
    </w:rPr>
  </w:style>
  <w:style w:type="paragraph" w:styleId="Heading2">
    <w:name w:val="heading 2"/>
    <w:basedOn w:val="Normal"/>
    <w:next w:val="Normal"/>
    <w:qFormat/>
    <w:pPr>
      <w:keepNext w:val="true"/>
      <w:numPr>
        <w:ilvl w:val="1"/>
        <w:numId w:val="1"/>
      </w:numPr>
      <w:jc w:val="center"/>
      <w:outlineLvl w:val="1"/>
    </w:pPr>
    <w:rPr>
      <w:b/>
      <w:bCs/>
    </w:rPr>
  </w:style>
  <w:style w:type="paragraph" w:styleId="Heading3">
    <w:name w:val="heading 3"/>
    <w:basedOn w:val="Normal"/>
    <w:next w:val="Normal"/>
    <w:qFormat/>
    <w:pPr>
      <w:keepNext w:val="true"/>
      <w:numPr>
        <w:ilvl w:val="2"/>
        <w:numId w:val="1"/>
      </w:numPr>
      <w:ind w:firstLine="720" w:start="7200" w:end="0"/>
      <w:jc w:val="end"/>
      <w:outlineLvl w:val="2"/>
    </w:pPr>
    <w:rPr>
      <w:b/>
      <w:bCs/>
      <w:sz w:val="20"/>
    </w:rPr>
  </w:style>
  <w:style w:type="paragraph" w:styleId="Heading4">
    <w:name w:val="heading 4"/>
    <w:basedOn w:val="Normal"/>
    <w:next w:val="Normal"/>
    <w:qFormat/>
    <w:pPr>
      <w:keepNext w:val="true"/>
      <w:numPr>
        <w:ilvl w:val="3"/>
        <w:numId w:val="1"/>
      </w:numPr>
      <w:outlineLvl w:val="3"/>
    </w:pPr>
    <w:rPr>
      <w:rFonts w:ascii="Arial" w:hAnsi="Arial" w:cs="Arial"/>
      <w:b/>
      <w:bCs/>
      <w:color w:val="008080"/>
      <w:sz w:val="12"/>
      <w:szCs w:val="16"/>
    </w:rPr>
  </w:style>
  <w:style w:type="paragraph" w:styleId="Heading5">
    <w:name w:val="heading 5"/>
    <w:basedOn w:val="Normal"/>
    <w:next w:val="Normal"/>
    <w:qFormat/>
    <w:pPr>
      <w:keepNext w:val="true"/>
      <w:numPr>
        <w:ilvl w:val="4"/>
        <w:numId w:val="1"/>
      </w:numPr>
      <w:jc w:val="both"/>
      <w:outlineLvl w:val="4"/>
    </w:pPr>
    <w:rPr>
      <w:rFonts w:ascii="Arial" w:hAnsi="Arial" w:cs="Arial"/>
      <w:b/>
      <w:bCs/>
      <w:sz w:val="16"/>
      <w:szCs w:val="16"/>
    </w:rPr>
  </w:style>
  <w:style w:type="paragraph" w:styleId="Heading6">
    <w:name w:val="heading 6"/>
    <w:basedOn w:val="Normal"/>
    <w:next w:val="Normal"/>
    <w:qFormat/>
    <w:pPr>
      <w:keepNext w:val="true"/>
      <w:numPr>
        <w:ilvl w:val="5"/>
        <w:numId w:val="1"/>
      </w:numPr>
      <w:autoSpaceDE w:val="false"/>
      <w:spacing w:before="100" w:after="100"/>
      <w:outlineLvl w:val="5"/>
    </w:pPr>
    <w:rPr>
      <w:b/>
      <w:bCs/>
      <w:i/>
      <w:iCs/>
      <w:sz w:val="20"/>
    </w:rPr>
  </w:style>
  <w:style w:type="paragraph" w:styleId="Heading7">
    <w:name w:val="heading 7"/>
    <w:basedOn w:val="Normal"/>
    <w:next w:val="Normal"/>
    <w:qFormat/>
    <w:pPr>
      <w:keepNext w:val="true"/>
      <w:numPr>
        <w:ilvl w:val="6"/>
        <w:numId w:val="1"/>
      </w:numPr>
      <w:jc w:val="center"/>
      <w:outlineLvl w:val="6"/>
    </w:pPr>
    <w:rPr>
      <w:b/>
      <w:bCs/>
      <w:sz w:val="14"/>
      <w:szCs w:val="20"/>
    </w:rPr>
  </w:style>
  <w:style w:type="paragraph" w:styleId="Heading8">
    <w:name w:val="heading 8"/>
    <w:basedOn w:val="Normal"/>
    <w:next w:val="Normal"/>
    <w:qFormat/>
    <w:pPr>
      <w:keepNext w:val="true"/>
      <w:numPr>
        <w:ilvl w:val="7"/>
        <w:numId w:val="1"/>
      </w:numPr>
      <w:outlineLvl w:val="7"/>
    </w:pPr>
    <w:rPr>
      <w:b/>
      <w:bCs/>
      <w:sz w:val="20"/>
    </w:rPr>
  </w:style>
  <w:style w:type="paragraph" w:styleId="Heading9">
    <w:name w:val="heading 9"/>
    <w:basedOn w:val="Normal"/>
    <w:next w:val="Normal"/>
    <w:qFormat/>
    <w:pPr>
      <w:keepNext w:val="true"/>
      <w:numPr>
        <w:ilvl w:val="8"/>
        <w:numId w:val="1"/>
      </w:numPr>
      <w:outlineLvl w:val="8"/>
    </w:pPr>
    <w:rPr>
      <w:b/>
      <w:bCs/>
      <w:sz w:val="21"/>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Times New Roman" w:hAnsi="Times New Roman"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Times New Roman" w:hAnsi="Times New Roman" w:eastAsia="Times New Roman" w:cs="Times New Roma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Times New Roman" w:hAnsi="Times New Roman" w:eastAsia="Times New Roman" w:cs="Times New Roman"/>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next w:val="Normal"/>
    <w:qFormat/>
    <w:pPr>
      <w:autoSpaceDE w:val="false"/>
      <w:spacing w:before="100" w:after="100"/>
    </w:pPr>
    <w:rPr>
      <w:i/>
      <w:iCs/>
      <w:sz w:val="16"/>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rFonts w:ascii="Arial" w:hAnsi="Arial" w:cs="Arial"/>
      <w:sz w:val="14"/>
    </w:rPr>
  </w:style>
  <w:style w:type="paragraph" w:styleId="BodyText3">
    <w:name w:val="Body Text 3"/>
    <w:basedOn w:val="Normal"/>
    <w:qFormat/>
    <w:pPr/>
    <w:rPr>
      <w:sz w:val="16"/>
    </w:rPr>
  </w:style>
  <w:style w:type="paragraph" w:styleId="FootnoteText">
    <w:name w:val="footnote text"/>
    <w:basedOn w:val="Normal"/>
    <w:pPr/>
    <w:rPr>
      <w:sz w:val="2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2001-10-05T13:37:00Z</dcterms:created>
  <dc:creator>vsingh3</dc:creator>
  <dc:description/>
  <dc:language>en-CA</dc:language>
  <cp:lastModifiedBy>mcaushol</cp:lastModifiedBy>
  <cp:lastPrinted>2001-10-04T16:57:00Z</cp:lastPrinted>
  <dcterms:modified xsi:type="dcterms:W3CDTF">2001-10-05T15:33:00Z</dcterms:modified>
  <cp:revision>3</cp:revision>
  <dc:subject/>
  <dc:title>                                                                                                       </dc:title>
</cp:coreProperties>
</file>