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ind w:hanging="0" w:start="0"/>
        <w:rPr>
          <w:sz w:val="22"/>
        </w:rPr>
      </w:pPr>
      <w:r>
        <w:rPr>
          <w:sz w:val="22"/>
        </w:rPr>
        <w:t>Supply Side News:</w:t>
      </w:r>
    </w:p>
    <w:p>
      <w:pPr>
        <w:pStyle w:val="BodyText"/>
        <w:autoSpaceDE w:val="false"/>
        <w:spacing w:before="100" w:after="100"/>
        <w:rPr/>
      </w:pPr>
      <w:r>
        <w:rPr>
          <w:sz w:val="22"/>
        </w:rPr>
        <w:t>Prevailing market conditions continued taking their toll on producers as International Paper announced permanent closure of its pulp and paper mill in Erie, PA effective 4</w:t>
      </w:r>
      <w:r>
        <w:rPr>
          <w:sz w:val="22"/>
          <w:vertAlign w:val="superscript"/>
        </w:rPr>
        <w:t>th</w:t>
      </w:r>
      <w:r>
        <w:rPr>
          <w:sz w:val="22"/>
        </w:rPr>
        <w:t xml:space="preserve"> quarter this year.  The mill’s capacity is approximately 120,000 mtons of BHKP and represents about 4 percent of the company’s global market pulp capacity.  The company cited weak global pulp prices for the closure.  </w:t>
      </w:r>
    </w:p>
    <w:p>
      <w:pPr>
        <w:pStyle w:val="BodyText"/>
        <w:autoSpaceDE w:val="false"/>
        <w:spacing w:before="100" w:after="100"/>
        <w:rPr/>
      </w:pPr>
      <w:r>
        <w:rPr>
          <w:sz w:val="22"/>
        </w:rPr>
        <w:t>3</w:t>
      </w:r>
      <w:r>
        <w:rPr>
          <w:sz w:val="22"/>
          <w:vertAlign w:val="superscript"/>
        </w:rPr>
        <w:t>rd</w:t>
      </w:r>
      <w:r>
        <w:rPr>
          <w:sz w:val="22"/>
        </w:rPr>
        <w:t xml:space="preserve"> quarter earnings releases also reflected the pulp market’s ongoing malaise with quarter-on-quarter decreases at BEK producers VCP and Aracruz.  The former appeared to weather the storm a bit better as earnings from its paper segment offset weaker pulp prices.  While both companies’ sales were aided by the continued slide in the value of the Brazilian currency (Real), Aracruz’ interest expense on its mostly US$-denominated and – indexed debt has been adversely affected by the Real’s depreciation.  However, the issue represents a short-term problem as more than 98% of the company’s sales are also US$-denominated.    </w:t>
      </w:r>
    </w:p>
    <w:p>
      <w:pPr>
        <w:pStyle w:val="NormalWeb"/>
        <w:rPr>
          <w:rFonts w:ascii="Times New Roman" w:hAnsi="Times New Roman" w:cs="Times New Roman"/>
          <w:b/>
          <w:bCs/>
          <w:sz w:val="22"/>
        </w:rPr>
      </w:pPr>
      <w:r>
        <w:rPr>
          <w:rFonts w:cs="Times New Roman" w:ascii="Times New Roman" w:hAnsi="Times New Roman"/>
          <w:b/>
          <w:bCs/>
          <w:sz w:val="22"/>
        </w:rPr>
        <w:t>Demand Side News:</w:t>
      </w:r>
    </w:p>
    <w:p>
      <w:pPr>
        <w:pStyle w:val="NormalWeb"/>
        <w:rPr/>
      </w:pPr>
      <w:r>
        <w:rPr>
          <w:rFonts w:cs="Times New Roman" w:ascii="Times New Roman" w:hAnsi="Times New Roman"/>
          <w:sz w:val="22"/>
        </w:rPr>
        <w:t xml:space="preserve">European consumption, as measured by Utipulp, rose 16% during the month to reach an absolute level of 1.083 million metric tons.  While this is a tentative sign of tightening in the pulp market, consumer inventories also rose during the month possibly implying that the recent spate of drops in producer inventories was simply a transfer of product from the supply to the demand side.  Consumer inventories now stand at 1.1 million metric tons, or 31 days, which is their highest level since December of last year.  Traditionally, inventories decrease during the month of September.  </w:t>
      </w:r>
      <w:r>
        <w:rPr>
          <w:rFonts w:cs="Times New Roman" w:ascii="Times New Roman" w:hAnsi="Times New Roman"/>
          <w:i/>
          <w:iCs/>
          <w:sz w:val="22"/>
        </w:rPr>
        <w:t>(For historical Utipulp inventory</w:t>
      </w:r>
      <w:r>
        <w:rPr>
          <w:rFonts w:cs="Times New Roman" w:ascii="Times New Roman" w:hAnsi="Times New Roman"/>
          <w:sz w:val="22"/>
        </w:rPr>
        <w:t xml:space="preserve"> </w:t>
      </w:r>
      <w:r>
        <w:rPr>
          <w:rFonts w:cs="Times New Roman" w:ascii="Times New Roman" w:hAnsi="Times New Roman"/>
          <w:i/>
          <w:iCs/>
          <w:sz w:val="22"/>
        </w:rPr>
        <w:t>see graph below</w:t>
      </w:r>
      <w:r>
        <w:rPr>
          <w:rFonts w:cs="Times New Roman" w:ascii="Times New Roman" w:hAnsi="Times New Roman"/>
          <w:sz w:val="22"/>
        </w:rPr>
        <w:t>)</w:t>
      </w:r>
    </w:p>
    <w:p>
      <w:pPr>
        <w:pStyle w:val="NormalWeb"/>
        <w:rPr>
          <w:rFonts w:ascii="Times New Roman" w:hAnsi="Times New Roman" w:cs="Times New Roman"/>
          <w:sz w:val="22"/>
        </w:rPr>
      </w:pPr>
      <w:r>
        <w:rPr>
          <w:rFonts w:cs="Times New Roman" w:ascii="Times New Roman" w:hAnsi="Times New Roman"/>
          <w:sz w:val="22"/>
        </w:rPr>
        <w:t>Mondi plans to invest $49 million in its Merebank pulp and paper mill in order to boost the 80,000 tpy uncoated woodfree PM 2 capacity by 40,000 tpy. According to Mondi, the capacity hike will allow the company to increase its export capacity, as well as consolidate its position in the domestic market.</w:t>
      </w:r>
    </w:p>
    <w:p>
      <w:pPr>
        <w:pStyle w:val="Normal"/>
        <w:autoSpaceDE w:val="false"/>
        <w:rPr>
          <w:b/>
          <w:bCs/>
          <w:sz w:val="22"/>
        </w:rPr>
      </w:pPr>
      <w:r>
        <w:rPr>
          <w:b/>
          <w:bCs/>
          <w:sz w:val="22"/>
        </w:rPr>
        <w:t>Price:</w:t>
      </w:r>
    </w:p>
    <w:p>
      <w:pPr>
        <w:pStyle w:val="Normal"/>
        <w:autoSpaceDE w:val="false"/>
        <w:rPr>
          <w:b/>
          <w:bCs/>
          <w:sz w:val="22"/>
        </w:rPr>
      </w:pPr>
      <w:r>
        <w:rPr>
          <w:b/>
          <w:bCs/>
          <w:sz w:val="22"/>
        </w:rPr>
      </w:r>
    </w:p>
    <w:p>
      <w:pPr>
        <w:pStyle w:val="Normal"/>
        <w:autoSpaceDE w:val="false"/>
        <w:rPr>
          <w:sz w:val="22"/>
        </w:rPr>
      </w:pPr>
      <w:r>
        <w:rPr>
          <w:sz w:val="22"/>
        </w:rPr>
        <w:t xml:space="preserve">Both the NBSK and Hardwood FOEX indices registered increases again this week; however, the increases were less than those recorded last week suggesting that the market still hasn’t fully adopted the producer-driven price hike.  The benchmark NBSK index rose roughly 1% w-o-w to US$463.94/mton while hardwood grew by 0.3% to US$416.72.  Last week’s increases were 1.7% and 2.1%, respectively.  Nevertheless, most market observers are finally conceding that the full price hike will eventually be adopted by yearend.  </w:t>
      </w:r>
    </w:p>
    <w:p>
      <w:pPr>
        <w:pStyle w:val="Normal"/>
        <w:autoSpaceDE w:val="false"/>
        <w:rPr>
          <w:sz w:val="22"/>
        </w:rPr>
      </w:pPr>
      <w:r>
        <w:rPr>
          <w:sz w:val="22"/>
        </w:rPr>
      </w:r>
    </w:p>
    <w:p>
      <w:pPr>
        <w:pStyle w:val="Normal"/>
        <w:autoSpaceDE w:val="false"/>
        <w:rPr>
          <w:sz w:val="20"/>
        </w:rPr>
      </w:pPr>
      <w:r>
        <w:rPr>
          <w:sz w:val="22"/>
        </w:rPr>
        <w:t xml:space="preserve">What is not clear, however, is whether any real recovery in pulp prices is imminent.  The fact that many pulp consumers presently have high levels of inventory due to restocking at “rock bottom” prices, and that no U.S. economic recovery is projected until sometime in mid-year 2002, pulp demand will most likely remain anemic.  Add to this the considerable amount of capacity coming online during 2002, the largest being Aracruz’ 700,000 mtons of BEK in June ’02, and the stage is set for a continuing situation of oversupply.  Accordingly, any true recovery may be 12 months away.   </w:t>
      </w:r>
    </w:p>
    <w:p>
      <w:pPr>
        <w:pStyle w:val="BodyText"/>
        <w:autoSpaceDE w:val="false"/>
        <w:jc w:val="center"/>
        <w:rPr/>
      </w:pPr>
      <w:bookmarkStart w:id="0" w:name="_1064915599"/>
      <w:bookmarkStart w:id="1" w:name="_1064915589"/>
      <w:bookmarkStart w:id="2" w:name="_1064914569"/>
      <w:bookmarkStart w:id="3" w:name="_1064914423"/>
      <w:bookmarkEnd w:id="0"/>
      <w:bookmarkEnd w:id="1"/>
      <w:bookmarkEnd w:id="2"/>
      <w:bookmarkEnd w:id="3"/>
      <w:r>
        <w:rPr/>
        <w:object w:dxaOrig="6401" w:dyaOrig="358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1.7pt;height:174.75pt" filled="f" o:ole="">
            <v:imagedata r:id="rId3" o:title=""/>
          </v:shape>
          <o:OLEObject Type="Embed" ProgID="Excel.Sheet.12" ShapeID="ole_rId2" DrawAspect="Content" ObjectID="_1756210875" r:id="rId2"/>
        </w:object>
      </w:r>
    </w:p>
    <w:p>
      <w:pPr>
        <w:pStyle w:val="BodyText"/>
        <w:autoSpaceDE w:val="false"/>
        <w:jc w:val="center"/>
        <w:rPr>
          <w:i/>
          <w:i/>
          <w:iCs/>
          <w:sz w:val="18"/>
        </w:rPr>
      </w:pPr>
      <w:r>
        <w:rPr>
          <w:i/>
          <w:iCs/>
          <w:sz w:val="18"/>
        </w:rPr>
        <w:t>Source: Utipulp</w:t>
      </w:r>
    </w:p>
    <w:sectPr>
      <w:headerReference w:type="default" r:id="rId4"/>
      <w:footerReference w:type="default" r:id="rId5"/>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2001-10-19T19:56:00Z</dcterms:created>
  <dc:creator>vsingh3</dc:creator>
  <dc:description/>
  <dc:language>en-CA</dc:language>
  <cp:lastModifiedBy>kcarter4</cp:lastModifiedBy>
  <cp:lastPrinted>2001-10-18T14:24:00Z</cp:lastPrinted>
  <dcterms:modified xsi:type="dcterms:W3CDTF">2001-10-19T19:56:00Z</dcterms:modified>
  <cp:revision>2</cp:revision>
  <dc:subject/>
  <dc:title>                                                                                                       </dc:title>
</cp:coreProperties>
</file>