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Update on Midwest RTO Strategy</w:t>
      </w:r>
    </w:p>
    <w:p>
      <w:pPr>
        <w:pStyle w:val="Normal"/>
        <w:rPr/>
      </w:pPr>
      <w:r>
        <w:rPr/>
        <w:t>11/06/00 – Jeff Brown</w:t>
      </w:r>
    </w:p>
    <w:p>
      <w:pPr>
        <w:pStyle w:val="Normal"/>
        <w:rPr/>
      </w:pPr>
      <w:r>
        <w:rPr/>
      </w:r>
    </w:p>
    <w:p>
      <w:pPr>
        <w:pStyle w:val="Normal"/>
        <w:rPr/>
      </w:pPr>
      <w:r>
        <w:rPr/>
        <w:t>We have organized a broad coalition that supports a single RTO in the Midwest.  The initial meeting will be November 14</w:t>
      </w:r>
      <w:r>
        <w:rPr>
          <w:vertAlign w:val="superscript"/>
        </w:rPr>
        <w:t>th</w:t>
      </w:r>
      <w:r>
        <w:rPr/>
        <w:t xml:space="preserve"> at Wabash Valley Power’s office in Indianapolis.  The purpose of the coalition is not to bash the Alliance nor the MISO, but to petition the FERC to facilitate the development of a single RTO in the Midwest.</w:t>
      </w:r>
    </w:p>
    <w:p>
      <w:pPr>
        <w:pStyle w:val="Normal"/>
        <w:rPr/>
      </w:pPr>
      <w:r>
        <w:rPr/>
      </w:r>
    </w:p>
    <w:p>
      <w:pPr>
        <w:pStyle w:val="Normal"/>
        <w:rPr/>
      </w:pPr>
      <w:r>
        <w:rPr/>
        <w:t>We have secured the Indiana and Illinois State Commissions to facilitate the November 14</w:t>
      </w:r>
      <w:r>
        <w:rPr>
          <w:vertAlign w:val="superscript"/>
        </w:rPr>
        <w:t>th</w:t>
      </w:r>
      <w:r>
        <w:rPr/>
        <w:t xml:space="preserve"> meeting.  John Procario, COO of Cinergy has agreed to invite most of the Transmission Owners.   Ed Martin, CEO of Wabash has agreed to invite most of the public power stakeholders.  We are contacting many of the power marketers, IPPs, and customer groups.  </w:t>
      </w:r>
    </w:p>
    <w:p>
      <w:pPr>
        <w:pStyle w:val="Normal"/>
        <w:rPr/>
      </w:pPr>
      <w:r>
        <w:rPr/>
      </w:r>
    </w:p>
    <w:p>
      <w:pPr>
        <w:pStyle w:val="Normal"/>
        <w:rPr/>
      </w:pPr>
      <w:r>
        <w:rPr/>
        <w:t>To set the agenda behind the scenes, we will be meeting with Terry Harvill, Illinois Commissioner, on November 8</w:t>
      </w:r>
      <w:r>
        <w:rPr>
          <w:vertAlign w:val="superscript"/>
        </w:rPr>
        <w:t>th</w:t>
      </w:r>
      <w:r>
        <w:rPr/>
        <w:t>.  We will prepare a list of principles/issues that we think should be the focus of the November 14</w:t>
      </w:r>
      <w:r>
        <w:rPr>
          <w:vertAlign w:val="superscript"/>
        </w:rPr>
        <w:t>th</w:t>
      </w:r>
      <w:r>
        <w:rPr/>
        <w:t xml:space="preserve"> meeting and ultimately filed with the FERC.</w:t>
      </w:r>
    </w:p>
    <w:p>
      <w:pPr>
        <w:pStyle w:val="Normal"/>
        <w:rPr/>
      </w:pPr>
      <w:r>
        <w:rPr/>
      </w:r>
    </w:p>
    <w:p>
      <w:pPr>
        <w:pStyle w:val="Normal"/>
        <w:rPr/>
      </w:pPr>
      <w:r>
        <w:rPr/>
      </w:r>
    </w:p>
    <w:p>
      <w:pPr>
        <w:pStyle w:val="Normal"/>
        <w:rPr/>
      </w:pPr>
      <w:r>
        <w:rPr/>
        <w:t>Here’s the list of organizations that will attend the Nov. 14</w:t>
      </w:r>
      <w:r>
        <w:rPr>
          <w:vertAlign w:val="superscript"/>
        </w:rPr>
        <w:t>th</w:t>
      </w:r>
      <w:r>
        <w:rPr/>
        <w:t xml:space="preserve"> meeting.  By inviting Dynegy, we have indirectly invited Illinois Power.  We are considering what Alliance companies (other than IP) would be willing to participate in the coalition.  </w:t>
      </w:r>
    </w:p>
    <w:p>
      <w:pPr>
        <w:pStyle w:val="Normal"/>
        <w:rPr/>
      </w:pPr>
      <w:r>
        <w:rPr/>
      </w:r>
    </w:p>
    <w:p>
      <w:pPr>
        <w:pStyle w:val="Normal"/>
        <w:rPr/>
      </w:pPr>
      <w:r>
        <w:rPr/>
        <w:t>Cinergy</w:t>
      </w:r>
    </w:p>
    <w:p>
      <w:pPr>
        <w:pStyle w:val="Normal"/>
        <w:rPr/>
      </w:pPr>
      <w:r>
        <w:rPr/>
        <w:t>Enron</w:t>
      </w:r>
    </w:p>
    <w:p>
      <w:pPr>
        <w:pStyle w:val="Normal"/>
        <w:rPr/>
      </w:pPr>
      <w:r>
        <w:rPr/>
        <w:t>Wabash Valley Power Company</w:t>
      </w:r>
    </w:p>
    <w:p>
      <w:pPr>
        <w:pStyle w:val="Normal"/>
        <w:rPr/>
      </w:pPr>
      <w:r>
        <w:rPr/>
        <w:t>Dynegy</w:t>
      </w:r>
    </w:p>
    <w:p>
      <w:pPr>
        <w:pStyle w:val="Normal"/>
        <w:rPr/>
      </w:pPr>
      <w:r>
        <w:rPr/>
        <w:t>Reliant</w:t>
      </w:r>
    </w:p>
    <w:p>
      <w:pPr>
        <w:pStyle w:val="Normal"/>
        <w:rPr/>
      </w:pPr>
      <w:r>
        <w:rPr/>
        <w:t>Edison Mission</w:t>
      </w:r>
    </w:p>
    <w:p>
      <w:pPr>
        <w:pStyle w:val="Normal"/>
        <w:rPr/>
      </w:pPr>
      <w:r>
        <w:rPr/>
        <w:t>PG&amp;E Generating Company</w:t>
      </w:r>
    </w:p>
    <w:p>
      <w:pPr>
        <w:pStyle w:val="Normal"/>
        <w:rPr/>
      </w:pPr>
      <w:r>
        <w:rPr/>
        <w:t>Duke ENA</w:t>
      </w:r>
    </w:p>
    <w:p>
      <w:pPr>
        <w:pStyle w:val="Normal"/>
        <w:rPr/>
      </w:pPr>
      <w:r>
        <w:rPr/>
        <w:t>NSP</w:t>
      </w:r>
    </w:p>
    <w:p>
      <w:pPr>
        <w:pStyle w:val="Normal"/>
        <w:rPr/>
      </w:pPr>
      <w:r>
        <w:rPr/>
        <w:t>Ameren</w:t>
      </w:r>
    </w:p>
    <w:p>
      <w:pPr>
        <w:pStyle w:val="Normal"/>
        <w:rPr/>
      </w:pPr>
      <w:r>
        <w:rPr/>
        <w:t>LG&amp;E</w:t>
      </w:r>
    </w:p>
    <w:p>
      <w:pPr>
        <w:pStyle w:val="Normal"/>
        <w:rPr/>
      </w:pPr>
      <w:r>
        <w:rPr/>
        <w:t>TVA</w:t>
      </w:r>
    </w:p>
    <w:p>
      <w:pPr>
        <w:pStyle w:val="Normal"/>
        <w:rPr/>
      </w:pPr>
      <w:r>
        <w:rPr/>
        <w:t>Wolverine</w:t>
      </w:r>
    </w:p>
    <w:p>
      <w:pPr>
        <w:pStyle w:val="Normal"/>
        <w:rPr/>
      </w:pPr>
      <w:r>
        <w:rPr/>
        <w:t>Indiana Municipal Power Association</w:t>
      </w:r>
    </w:p>
    <w:p>
      <w:pPr>
        <w:pStyle w:val="Normal"/>
        <w:rPr/>
      </w:pPr>
      <w:r>
        <w:rPr/>
        <w:t>American Transmission Company</w:t>
      </w:r>
    </w:p>
    <w:p>
      <w:pPr>
        <w:pStyle w:val="Normal"/>
        <w:rPr/>
      </w:pPr>
      <w:r>
        <w:rPr/>
        <w:t>State Commission staff from Illinois, Indiana, Ohio, Michigan, Kentucky, and Missouri</w:t>
      </w:r>
    </w:p>
    <w:p>
      <w:pPr>
        <w:pStyle w:val="Normal"/>
        <w:rPr/>
      </w:pPr>
      <w:r>
        <w:rPr/>
        <w:t>Soutern Indiana Gas &amp; Electric</w:t>
      </w:r>
    </w:p>
    <w:p>
      <w:pPr>
        <w:pStyle w:val="Normal"/>
        <w:rPr/>
      </w:pPr>
      <w:r>
        <w:rPr/>
        <w:t>Southern Illinois Power Coop</w:t>
      </w:r>
    </w:p>
    <w:p>
      <w:pPr>
        <w:pStyle w:val="Normal"/>
        <w:rPr/>
      </w:pPr>
      <w:r>
        <w:rPr/>
        <w:t>Buckeye Power</w:t>
      </w:r>
    </w:p>
    <w:p>
      <w:pPr>
        <w:pStyle w:val="Normal"/>
        <w:rPr/>
      </w:pPr>
      <w:r>
        <w:rPr/>
        <w:t>AMP-Ohio (Invited)</w:t>
      </w:r>
    </w:p>
    <w:p>
      <w:pPr>
        <w:pStyle w:val="Normal"/>
        <w:rPr/>
      </w:pPr>
      <w:r>
        <w:rPr/>
        <w:t>Kevin Murray – Attorney for Industrials</w:t>
      </w:r>
    </w:p>
    <w:p>
      <w:pPr>
        <w:pStyle w:val="Normal"/>
        <w:rPr/>
      </w:pPr>
      <w:r>
        <w:rPr/>
        <w:t>Jim Dauphinais  - Consultant for Industrials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2000-11-06T11:47:00Z</dcterms:created>
  <dc:creator>jbrown1</dc:creator>
  <dc:description/>
  <dc:language>en-CA</dc:language>
  <cp:lastModifiedBy>jbrown1</cp:lastModifiedBy>
  <cp:lastPrinted>2000-11-06T09:24:00Z</cp:lastPrinted>
  <dcterms:modified xsi:type="dcterms:W3CDTF">2000-11-06T12:59:00Z</dcterms:modified>
  <cp:revision>17</cp:revision>
  <dc:subject/>
  <dc:title>MISO/Alliance Strategy</dc:title>
</cp:coreProperties>
</file>