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-91440</wp:posOffset>
                </wp:positionH>
                <wp:positionV relativeFrom="paragraph">
                  <wp:posOffset>-91440</wp:posOffset>
                </wp:positionV>
                <wp:extent cx="7132320" cy="0"/>
                <wp:effectExtent l="0" t="24130" r="0" b="2413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-7.2pt" to="554.35pt,-7.2pt" stroked="t" o:allowincell="f" style="position:absolute">
                <v:stroke color="black" weight="4752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Clarendon Condensed" w:cs="Clarendon Condensed" w:ascii="Clarendon Condensed" w:hAnsi="Clarendon Condensed"/>
          <w:color w:val="0000FF"/>
          <w:sz w:val="44"/>
        </w:rPr>
        <w:t xml:space="preserve">    </w:t>
      </w:r>
      <w:r>
        <w:rPr/>
        <w:drawing>
          <wp:inline distT="0" distB="0" distL="0" distR="0">
            <wp:extent cx="1233805" cy="495300"/>
            <wp:effectExtent l="0" t="0" r="0" b="0"/>
            <wp:docPr id="2" name="!ITRON_C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ITRON_C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49" r="-20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larendon Condensed" w:cs="Clarendon Condensed" w:ascii="Clarendon Condensed" w:hAnsi="Clarendon Condensed"/>
          <w:color w:val="0000FF"/>
          <w:sz w:val="44"/>
        </w:rPr>
        <w:t xml:space="preserve">          </w:t>
      </w:r>
      <w:r>
        <w:rPr>
          <w:rFonts w:cs="Clarendon Condensed" w:ascii="Clarendon Condensed" w:hAnsi="Clarendon Condensed"/>
          <w:sz w:val="44"/>
        </w:rPr>
        <w:t>Energy Data Management</w:t>
      </w:r>
      <w:r>
        <w:rPr>
          <w:lang w:val="en-CA" w:eastAsia="en-CA"/>
        </w:rPr>
        <w:t xml:space="preserve"> </w:t>
      </w:r>
    </w:p>
    <w:p>
      <w:pPr>
        <w:pStyle w:val="Normal"/>
        <w:rPr>
          <w:rFonts w:ascii="Clarendon Condensed" w:hAnsi="Clarendon Condensed" w:cs="Clarendon Condensed"/>
          <w:color w:val="0000FF"/>
          <w:sz w:val="52"/>
          <w:lang w:val="en-CA" w:eastAsia="en-CA"/>
        </w:rPr>
      </w:pPr>
      <w:r>
        <w:rPr>
          <w:rFonts w:cs="Clarendon Condensed" w:ascii="Clarendon Condensed" w:hAnsi="Clarendon Condensed"/>
          <w:color w:val="0000FF"/>
          <w:sz w:val="5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-91440</wp:posOffset>
                </wp:positionH>
                <wp:positionV relativeFrom="paragraph">
                  <wp:posOffset>60960</wp:posOffset>
                </wp:positionV>
                <wp:extent cx="7132320" cy="0"/>
                <wp:effectExtent l="0" t="24130" r="0" b="2413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475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2pt,4.8pt" to="554.35pt,4.8pt" stroked="t" o:allowincell="f" style="position:absolute">
                <v:stroke color="black" weight="4752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Why use MV-STAR as your Data Management Tool?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Operational efficiency</w:t>
      </w:r>
      <w:r>
        <w:rPr>
          <w:sz w:val="24"/>
        </w:rPr>
        <w:t xml:space="preserve"> through management of interval data from increased metering</w:t>
      </w:r>
      <w:r>
        <w:rPr>
          <w:b/>
          <w:sz w:val="24"/>
        </w:rPr>
        <w:t xml:space="preserve"> </w:t>
      </w:r>
      <w:r>
        <w:rPr>
          <w:sz w:val="24"/>
        </w:rPr>
        <w:t>operations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Enhanced</w:t>
      </w:r>
      <w:r>
        <w:rPr>
          <w:sz w:val="24"/>
        </w:rPr>
        <w:t xml:space="preserve"> </w:t>
      </w:r>
      <w:r>
        <w:rPr>
          <w:b/>
          <w:sz w:val="24"/>
        </w:rPr>
        <w:t>data integrity</w:t>
      </w:r>
      <w:r>
        <w:rPr>
          <w:sz w:val="24"/>
        </w:rPr>
        <w:t xml:space="preserve"> for billing and data transactions through </w:t>
      </w:r>
      <w:r>
        <w:rPr>
          <w:b/>
          <w:sz w:val="24"/>
        </w:rPr>
        <w:t xml:space="preserve">full versioning </w:t>
      </w:r>
      <w:r>
        <w:rPr>
          <w:sz w:val="24"/>
        </w:rPr>
        <w:t xml:space="preserve">capabilities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Directly integrates with MV-90 </w:t>
      </w:r>
      <w:r>
        <w:rPr>
          <w:b/>
          <w:sz w:val="24"/>
        </w:rPr>
        <w:t>saving time and cost</w:t>
      </w:r>
      <w:r>
        <w:rPr>
          <w:sz w:val="24"/>
        </w:rPr>
        <w:t xml:space="preserve"> associated with implementation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Manages deregulation requirements</w:t>
      </w:r>
      <w:r>
        <w:rPr>
          <w:sz w:val="24"/>
        </w:rPr>
        <w:t xml:space="preserve"> through unparalleled management of market participant relationships (socket, metering system, market participant, role)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Serves as </w:t>
      </w:r>
      <w:r>
        <w:rPr>
          <w:b/>
          <w:sz w:val="24"/>
        </w:rPr>
        <w:t>one system</w:t>
      </w:r>
      <w:r>
        <w:rPr>
          <w:sz w:val="24"/>
        </w:rPr>
        <w:t xml:space="preserve"> </w:t>
      </w:r>
      <w:r>
        <w:rPr>
          <w:b/>
          <w:sz w:val="24"/>
        </w:rPr>
        <w:t xml:space="preserve">repository </w:t>
      </w:r>
      <w:r>
        <w:rPr>
          <w:sz w:val="24"/>
        </w:rPr>
        <w:t>for</w:t>
      </w:r>
      <w:r>
        <w:rPr>
          <w:b/>
          <w:sz w:val="24"/>
        </w:rPr>
        <w:t xml:space="preserve"> </w:t>
      </w:r>
      <w:r>
        <w:rPr>
          <w:sz w:val="24"/>
        </w:rPr>
        <w:t>all meter data</w:t>
      </w:r>
      <w:r>
        <w:rPr>
          <w:b/>
          <w:sz w:val="24"/>
        </w:rPr>
        <w:t xml:space="preserve"> reducing IT costs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Complements the functionality of other systems</w:t>
      </w:r>
      <w:r>
        <w:rPr>
          <w:sz w:val="24"/>
        </w:rPr>
        <w:t xml:space="preserve"> used for risk management, billing, forecasting and wholesale operations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Supports</w:t>
      </w:r>
      <w:r>
        <w:rPr>
          <w:sz w:val="24"/>
        </w:rPr>
        <w:t xml:space="preserve"> </w:t>
      </w:r>
      <w:r>
        <w:rPr>
          <w:b/>
          <w:sz w:val="24"/>
        </w:rPr>
        <w:t>interactions with wholesale partners</w:t>
      </w:r>
      <w:r>
        <w:rPr>
          <w:sz w:val="24"/>
        </w:rPr>
        <w:t xml:space="preserve"> by transacting advanced aggregation and settlement data via accepted industry exchange formats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Facilitates load profiling</w:t>
      </w:r>
      <w:r>
        <w:rPr>
          <w:sz w:val="24"/>
        </w:rPr>
        <w:t xml:space="preserve"> through </w:t>
      </w:r>
      <w:r>
        <w:rPr>
          <w:b/>
          <w:sz w:val="24"/>
        </w:rPr>
        <w:t>already built interfaces</w:t>
      </w:r>
      <w:r>
        <w:rPr>
          <w:sz w:val="24"/>
        </w:rPr>
        <w:t xml:space="preserve"> to popular load forecasting products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 xml:space="preserve">MV-STAR is a robust and highly scalable Data Management tool that allows you to manage large volumes of interval data.  Its architecture supports new file formats and a variety of data exchange methods.  MV-STAR is a necessary tool for clients addressing the challenges associated with meter data management. </w:t>
      </w:r>
    </w:p>
    <w:p>
      <w:pPr>
        <w:pStyle w:val="BodyText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858000" cy="3291840"/>
                <wp:effectExtent l="38100" t="38100" r="38100" b="3810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29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32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14.15pt;width:539.95pt;height:259.15pt;mso-wrap-style:none;v-text-anchor:middle">
                <v:fill o:detectmouseclick="t" type="solid" color2="black"/>
                <v:stroke color="red" weight="76320" joinstyle="miter" endcap="flat"/>
                <w10:wrap type="none"/>
              </v:rect>
            </w:pict>
          </mc:Fallback>
        </mc:AlternateContent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457200</wp:posOffset>
            </wp:positionH>
            <wp:positionV relativeFrom="paragraph">
              <wp:posOffset>238125</wp:posOffset>
            </wp:positionV>
            <wp:extent cx="6035040" cy="3149600"/>
            <wp:effectExtent l="0" t="0" r="0" b="0"/>
            <wp:wrapTopAndBottom/>
            <wp:docPr id="5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10" r="-6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14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822960</wp:posOffset>
                </wp:positionH>
                <wp:positionV relativeFrom="paragraph">
                  <wp:posOffset>370205</wp:posOffset>
                </wp:positionV>
                <wp:extent cx="895350" cy="274320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MV-STAR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0.5pt;height:21.6pt;mso-wrap-distance-left:9.05pt;mso-wrap-distance-right:9.05pt;mso-wrap-distance-top:0pt;mso-wrap-distance-bottom:0pt;margin-top:29.15pt;mso-position-vertical-relative:text;margin-left:64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MV-STAR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For further information or if you have any questions please contact:  Brandon Force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 xml:space="preserve">  Regional Account Manager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 xml:space="preserve">  919-876-2600 Ext 1210</w:t>
      </w:r>
    </w:p>
    <w:p>
      <w:pPr>
        <w:pStyle w:val="BodyText"/>
        <w:rPr/>
      </w:pPr>
      <w:r>
        <w:rPr/>
        <w:tab/>
        <w:tab/>
        <w:tab/>
        <w:tab/>
        <w:tab/>
        <w:tab/>
        <w:tab/>
        <w:tab/>
        <w:tab/>
        <w:t xml:space="preserve">  brandon.force@itron.com</w:t>
      </w:r>
    </w:p>
    <w:sectPr>
      <w:footerReference w:type="default" r:id="rId4"/>
      <w:type w:val="nextPage"/>
      <w:pgSz w:w="12240" w:h="15840"/>
      <w:pgMar w:left="720" w:right="72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larendon Condense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Itron 2001 – All Rights Reserved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4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2001-05-08T11:35:00Z</dcterms:created>
  <dc:creator>Brandon Force</dc:creator>
  <dc:description/>
  <dc:language>en-CA</dc:language>
  <cp:lastModifiedBy>Brandon Force</cp:lastModifiedBy>
  <cp:lastPrinted>2001-05-02T14:00:00Z</cp:lastPrinted>
  <dcterms:modified xsi:type="dcterms:W3CDTF">2001-05-08T11:35:00Z</dcterms:modified>
  <cp:revision>2</cp:revision>
  <dc:subject/>
  <dc:title>Right now in this time of uncertainty many organizations are evaluating their current CIS and Billing systems because they realize the need to change with a changing industry</dc:title>
</cp:coreProperties>
</file>