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-91440</wp:posOffset>
                </wp:positionH>
                <wp:positionV relativeFrom="paragraph">
                  <wp:posOffset>-91440</wp:posOffset>
                </wp:positionV>
                <wp:extent cx="7132320" cy="0"/>
                <wp:effectExtent l="0" t="24130" r="0" b="241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-7.2pt" to="554.35pt,-7.2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</w:t>
      </w:r>
      <w:r>
        <w:rPr/>
        <w:drawing>
          <wp:inline distT="0" distB="0" distL="0" distR="0">
            <wp:extent cx="1233805" cy="495300"/>
            <wp:effectExtent l="0" t="0" r="0" b="0"/>
            <wp:docPr id="2" name="!ITRON_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ITRON_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49" r="-2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      </w:t>
      </w:r>
      <w:r>
        <w:rPr>
          <w:rFonts w:cs="Clarendon Condensed" w:ascii="Clarendon Condensed" w:hAnsi="Clarendon Condensed"/>
          <w:sz w:val="44"/>
        </w:rPr>
        <w:t>Enterprise Edition</w:t>
      </w:r>
      <w:r>
        <w:rPr>
          <w:lang w:val="en-CA" w:eastAsia="en-CA"/>
        </w:rPr>
        <w:t xml:space="preserve"> </w:t>
      </w:r>
    </w:p>
    <w:p>
      <w:pPr>
        <w:pStyle w:val="Normal"/>
        <w:rPr>
          <w:rFonts w:ascii="Clarendon Condensed" w:hAnsi="Clarendon Condensed" w:cs="Clarendon Condensed"/>
          <w:color w:val="0000FF"/>
          <w:sz w:val="52"/>
          <w:lang w:val="en-CA" w:eastAsia="en-CA"/>
        </w:rPr>
      </w:pPr>
      <w:r>
        <w:rPr>
          <w:rFonts w:cs="Clarendon Condensed" w:ascii="Clarendon Condensed" w:hAnsi="Clarendon Condensed"/>
          <w:color w:val="0000FF"/>
          <w:sz w:val="5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-91440</wp:posOffset>
                </wp:positionH>
                <wp:positionV relativeFrom="paragraph">
                  <wp:posOffset>60960</wp:posOffset>
                </wp:positionV>
                <wp:extent cx="7132320" cy="0"/>
                <wp:effectExtent l="0" t="24130" r="0" b="2413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4.8pt" to="554.35pt,4.8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Why implement the New MV-90 Enterprise Edition?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Improved access </w:t>
      </w:r>
      <w:r>
        <w:rPr>
          <w:sz w:val="24"/>
        </w:rPr>
        <w:t>to MV-90 load profile information throughout the enterprise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Simple, flexible and robust </w:t>
      </w:r>
      <w:r>
        <w:rPr>
          <w:b/>
          <w:sz w:val="24"/>
        </w:rPr>
        <w:t>exchange of meter data</w:t>
      </w:r>
      <w:r>
        <w:rPr>
          <w:sz w:val="24"/>
        </w:rPr>
        <w:t xml:space="preserve"> with external business partners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More </w:t>
      </w:r>
      <w:r>
        <w:rPr>
          <w:b/>
          <w:sz w:val="24"/>
        </w:rPr>
        <w:t>effective use of MV-90</w:t>
      </w:r>
      <w:r>
        <w:rPr>
          <w:sz w:val="24"/>
        </w:rPr>
        <w:t xml:space="preserve"> data by third party applications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Third party</w:t>
      </w:r>
      <w:r>
        <w:rPr>
          <w:sz w:val="24"/>
        </w:rPr>
        <w:t xml:space="preserve"> </w:t>
      </w:r>
      <w:r>
        <w:rPr>
          <w:b/>
          <w:sz w:val="24"/>
        </w:rPr>
        <w:t>development</w:t>
      </w:r>
      <w:r>
        <w:rPr>
          <w:sz w:val="24"/>
        </w:rPr>
        <w:t xml:space="preserve"> of applications utilizing meter data collected by MV-90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Effective distribution of meter data </w:t>
      </w:r>
      <w:r>
        <w:rPr>
          <w:sz w:val="24"/>
        </w:rPr>
        <w:t>throughout the organization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Minimal IT support </w:t>
      </w:r>
      <w:r>
        <w:rPr>
          <w:sz w:val="24"/>
        </w:rPr>
        <w:t xml:space="preserve">of user community due to </w:t>
      </w:r>
      <w:r>
        <w:rPr>
          <w:b/>
          <w:sz w:val="24"/>
        </w:rPr>
        <w:t xml:space="preserve">thin client architecture </w:t>
      </w:r>
      <w:r>
        <w:rPr>
          <w:sz w:val="24"/>
        </w:rPr>
        <w:t>and</w:t>
      </w:r>
      <w:r>
        <w:rPr>
          <w:b/>
          <w:sz w:val="24"/>
        </w:rPr>
        <w:t xml:space="preserve"> browser user interface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Efficient reporting and querying </w:t>
      </w:r>
      <w:r>
        <w:rPr>
          <w:sz w:val="24"/>
        </w:rPr>
        <w:t xml:space="preserve">allowed by </w:t>
      </w:r>
      <w:r>
        <w:rPr>
          <w:b/>
          <w:sz w:val="24"/>
        </w:rPr>
        <w:t xml:space="preserve">relational database </w:t>
      </w:r>
      <w:r>
        <w:rPr>
          <w:sz w:val="24"/>
        </w:rPr>
        <w:t>structure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Support for advanced billing and deregulation </w:t>
      </w:r>
      <w:r>
        <w:rPr>
          <w:sz w:val="24"/>
        </w:rPr>
        <w:t xml:space="preserve">through </w:t>
      </w:r>
      <w:r>
        <w:rPr>
          <w:b/>
          <w:sz w:val="24"/>
        </w:rPr>
        <w:t xml:space="preserve">more accurate </w:t>
      </w:r>
      <w:r>
        <w:rPr>
          <w:sz w:val="24"/>
        </w:rPr>
        <w:t>and</w:t>
      </w:r>
      <w:r>
        <w:rPr>
          <w:b/>
          <w:sz w:val="24"/>
        </w:rPr>
        <w:t xml:space="preserve"> more advanced </w:t>
      </w:r>
      <w:r>
        <w:rPr>
          <w:sz w:val="24"/>
        </w:rPr>
        <w:t>load calculations</w:t>
      </w:r>
      <w:r>
        <w:rPr>
          <w:b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>enhanced aggregation</w:t>
      </w:r>
      <w:r>
        <w:rPr>
          <w:sz w:val="24"/>
        </w:rPr>
        <w:t xml:space="preserve"> capabilities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Operational efficiency </w:t>
      </w:r>
      <w:r>
        <w:rPr>
          <w:sz w:val="24"/>
        </w:rPr>
        <w:t xml:space="preserve">through one repository for all meter data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Reduce operating expenses</w:t>
      </w:r>
      <w:r>
        <w:rPr>
          <w:sz w:val="24"/>
        </w:rPr>
        <w:t xml:space="preserve"> and improve efficiency through the use of automation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open architecture of the new MV-90 Enterprise Edition allows you to leverage the inherent value of data collected by MV-90.  Enhanced integration with internal applications, third party software applications and external business partners establishes the MV-90 Enterprise Edition as the preferred meter data platform of the future.</w:t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91440</wp:posOffset>
                </wp:positionH>
                <wp:positionV relativeFrom="paragraph">
                  <wp:posOffset>146050</wp:posOffset>
                </wp:positionV>
                <wp:extent cx="6675120" cy="3474720"/>
                <wp:effectExtent l="38100" t="38100" r="38100" b="381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32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7.2pt;margin-top:11.5pt;width:525.55pt;height:273.55pt;mso-wrap-style:none;v-text-anchor:middle">
                <v:fill o:detectmouseclick="t" type="solid" color2="black"/>
                <v:stroke color="red" weight="76320" joinstyle="miter" endcap="flat"/>
                <w10:wrap type="none"/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949440" cy="3383280"/>
            <wp:effectExtent l="0" t="0" r="0" b="0"/>
            <wp:wrapTopAndBottom/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11" r="19902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further information or if you have any questions please contact:  Brandon Force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Regional Account Manager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919-876-2600 Ext. 1210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</w:t>
      </w:r>
      <w:r>
        <w:rPr>
          <w:sz w:val="22"/>
        </w:rPr>
        <w:t>brandon.force@itron.com</w:t>
      </w:r>
    </w:p>
    <w:sectPr>
      <w:footerReference w:type="default" r:id="rId4"/>
      <w:type w:val="nextPage"/>
      <w:pgSz w:w="12240" w:h="15840"/>
      <w:pgMar w:left="720" w:right="720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larendon Condense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Itron 2001 – All Rights Reserved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4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2001-05-21T12:59:00Z</dcterms:created>
  <dc:creator>Brandon Force</dc:creator>
  <dc:description/>
  <dc:language>en-CA</dc:language>
  <cp:lastModifiedBy>Brandon Force</cp:lastModifiedBy>
  <cp:lastPrinted>1999-10-01T16:14:00Z</cp:lastPrinted>
  <dcterms:modified xsi:type="dcterms:W3CDTF">2001-05-21T12:59:00Z</dcterms:modified>
  <cp:revision>2</cp:revision>
  <dc:subject/>
  <dc:title>Right now in this time of uncertainty many organizations are evaluating their current CIS and Billing systems because they realize the need to change with a changing industry</dc:title>
</cp:coreProperties>
</file>