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ONLINE</w:t>
      </w:r>
    </w:p>
    <w:p>
      <w:pPr>
        <w:pStyle w:val="Normal"/>
        <w:jc w:val="center"/>
        <w:rPr/>
      </w:pPr>
      <w:r>
        <w:rPr/>
        <w:t>Milbank, Tweed, Hadley &amp; McCloy LLP</w:t>
      </w:r>
    </w:p>
    <w:p>
      <w:pPr>
        <w:pStyle w:val="Normal"/>
        <w:jc w:val="center"/>
        <w:rPr/>
      </w:pPr>
      <w:r>
        <w:rPr/>
        <w:t xml:space="preserve"> </w:t>
      </w:r>
      <w:r>
        <w:rPr/>
        <w:t>Contact Team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1440" w:right="1440" w:gutter="0" w:header="0" w:top="1152" w:footer="720" w:bottom="115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>
          <w:u w:val="single"/>
        </w:rPr>
        <w:t>Los Angeles Office</w:t>
      </w:r>
      <w:r>
        <w:rPr/>
        <w:t>:</w:t>
      </w:r>
    </w:p>
    <w:p>
      <w:pPr>
        <w:pStyle w:val="Normal"/>
        <w:rPr/>
      </w:pPr>
      <w:r>
        <w:rPr/>
        <w:t>601 South Figueroa Street</w:t>
      </w:r>
    </w:p>
    <w:p>
      <w:pPr>
        <w:pStyle w:val="Normal"/>
        <w:rPr/>
      </w:pPr>
      <w:r>
        <w:rPr/>
        <w:t>30th Floor</w:t>
      </w:r>
    </w:p>
    <w:p>
      <w:pPr>
        <w:pStyle w:val="Normal"/>
        <w:rPr/>
      </w:pPr>
      <w:r>
        <w:rPr/>
        <w:t>Los Angeles, CA  90017</w:t>
      </w:r>
    </w:p>
    <w:p>
      <w:pPr>
        <w:pStyle w:val="Normal"/>
        <w:rPr/>
      </w:pPr>
      <w:r>
        <w:rPr/>
        <w:t>213-892-4000 – general phone</w:t>
      </w:r>
    </w:p>
    <w:p>
      <w:pPr>
        <w:pStyle w:val="Normal"/>
        <w:rPr/>
      </w:pPr>
      <w:r>
        <w:rPr/>
        <w:t>213-629-5063 – general fax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>Edwin F. Feo</w:t>
      </w:r>
    </w:p>
    <w:p>
      <w:pPr>
        <w:pStyle w:val="Normal"/>
        <w:rPr/>
      </w:pPr>
      <w:r>
        <w:rPr/>
        <w:tab/>
        <w:t>213-892-4416 – direct dial</w:t>
      </w:r>
    </w:p>
    <w:p>
      <w:pPr>
        <w:pStyle w:val="Normal"/>
        <w:rPr/>
      </w:pPr>
      <w:r>
        <w:rPr/>
        <w:tab/>
        <w:t>213-892-4717 – direct fax</w:t>
      </w:r>
    </w:p>
    <w:p>
      <w:pPr>
        <w:pStyle w:val="Normal"/>
        <w:rPr/>
      </w:pPr>
      <w:r>
        <w:rPr/>
        <w:tab/>
      </w:r>
      <w:hyperlink r:id="rId4">
        <w:r>
          <w:rPr>
            <w:rStyle w:val="Hyperlink"/>
          </w:rPr>
          <w:t>efeo@milbank.com</w:t>
        </w:r>
      </w:hyperlink>
      <w:r>
        <w:rPr/>
        <w:t xml:space="preserve"> – email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August W. Pelton</w:t>
      </w:r>
    </w:p>
    <w:p>
      <w:pPr>
        <w:pStyle w:val="Normal"/>
        <w:rPr/>
      </w:pPr>
      <w:r>
        <w:rPr/>
        <w:tab/>
        <w:t>213-892-4345 – direct dial</w:t>
      </w:r>
    </w:p>
    <w:p>
      <w:pPr>
        <w:pStyle w:val="Normal"/>
        <w:rPr/>
      </w:pPr>
      <w:r>
        <w:rPr/>
        <w:tab/>
        <w:t>213-892-4745 – direct fax</w:t>
      </w:r>
    </w:p>
    <w:p>
      <w:pPr>
        <w:pStyle w:val="Normal"/>
        <w:rPr/>
      </w:pPr>
      <w:r>
        <w:rPr/>
        <w:tab/>
      </w:r>
      <w:hyperlink r:id="rId5">
        <w:r>
          <w:rPr>
            <w:rStyle w:val="Hyperlink"/>
          </w:rPr>
          <w:t>apelton@milbank.com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New York Office</w:t>
      </w:r>
      <w:r>
        <w:rPr/>
        <w:t>:</w:t>
      </w:r>
    </w:p>
    <w:p>
      <w:pPr>
        <w:pStyle w:val="Normal"/>
        <w:rPr/>
      </w:pPr>
      <w:r>
        <w:rPr/>
        <w:t>1 Chase Manhattan Plaza</w:t>
      </w:r>
    </w:p>
    <w:p>
      <w:pPr>
        <w:pStyle w:val="Normal"/>
        <w:rPr/>
      </w:pPr>
      <w:r>
        <w:rPr/>
        <w:t>New York, NY  10005-1413</w:t>
      </w:r>
    </w:p>
    <w:p>
      <w:pPr>
        <w:pStyle w:val="Normal"/>
        <w:rPr/>
      </w:pPr>
      <w:r>
        <w:rPr/>
        <w:t>212-530-5000 – general phone</w:t>
      </w:r>
    </w:p>
    <w:p>
      <w:pPr>
        <w:pStyle w:val="Normal"/>
        <w:rPr/>
      </w:pPr>
      <w:r>
        <w:rPr/>
        <w:t>212-530-5219 – general fax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>Daniel R. Mummery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212-530-5720 – direct dial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212-822-5720 – direct fax</w:t>
      </w:r>
    </w:p>
    <w:p>
      <w:pPr>
        <w:pStyle w:val="Normal"/>
        <w:tabs>
          <w:tab w:val="left" w:pos="720" w:leader="none"/>
        </w:tabs>
        <w:rPr/>
      </w:pPr>
      <w:r>
        <w:rPr/>
        <w:tab/>
      </w:r>
      <w:hyperlink r:id="rId6">
        <w:r>
          <w:rPr>
            <w:rStyle w:val="Hyperlink"/>
          </w:rPr>
          <w:t>dmummery@milbank.com</w:t>
        </w:r>
      </w:hyperlink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>David M. Hudanish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212-530-5482 – direct dial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212-822-5482 or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212-530-0278 – direct fax</w:t>
      </w:r>
    </w:p>
    <w:p>
      <w:pPr>
        <w:pStyle w:val="Normal"/>
        <w:tabs>
          <w:tab w:val="left" w:pos="720" w:leader="none"/>
        </w:tabs>
        <w:rPr/>
      </w:pPr>
      <w:r>
        <w:rPr/>
        <w:tab/>
      </w:r>
      <w:hyperlink r:id="rId7">
        <w:r>
          <w:rPr>
            <w:rStyle w:val="Hyperlink"/>
          </w:rPr>
          <w:t>dhudanish@milbank.com</w:t>
        </w:r>
      </w:hyperlink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>Scott Miller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212-530-5412 – direct dial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212-822-5412 or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212-530-0278 – direct fax</w:t>
      </w:r>
    </w:p>
    <w:p>
      <w:pPr>
        <w:pStyle w:val="Normal"/>
        <w:tabs>
          <w:tab w:val="left" w:pos="720" w:leader="none"/>
        </w:tabs>
        <w:rPr/>
      </w:pPr>
      <w:r>
        <w:rPr/>
        <w:tab/>
      </w:r>
      <w:hyperlink r:id="rId8">
        <w:r>
          <w:rPr>
            <w:rStyle w:val="Hyperlink"/>
          </w:rPr>
          <w:t>smiller@milbank.com</w:t>
        </w:r>
      </w:hyperlink>
    </w:p>
    <w:p>
      <w:pPr>
        <w:pStyle w:val="Normal"/>
        <w:tabs>
          <w:tab w:val="left" w:pos="72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ab/>
        <w:t>Eric Sanford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212-530-5414 – direct dial</w:t>
      </w:r>
    </w:p>
    <w:p>
      <w:pPr>
        <w:pStyle w:val="Normal"/>
        <w:tabs>
          <w:tab w:val="left" w:pos="720" w:leader="none"/>
        </w:tabs>
        <w:rPr/>
      </w:pPr>
      <w:r>
        <w:rPr/>
        <w:tab/>
        <w:t>212-822-5414 – direct fax</w:t>
      </w:r>
    </w:p>
    <w:p>
      <w:pPr>
        <w:pStyle w:val="Normal"/>
        <w:tabs>
          <w:tab w:val="left" w:pos="720" w:leader="none"/>
        </w:tabs>
        <w:rPr/>
      </w:pPr>
      <w:r>
        <w:rPr/>
        <w:tab/>
      </w:r>
      <w:hyperlink r:id="rId9">
        <w:r>
          <w:rPr>
            <w:rStyle w:val="Hyperlink"/>
          </w:rPr>
          <w:t>esanford@milbank.com</w:t>
        </w:r>
      </w:hyperlink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>
          <w:u w:val="single"/>
        </w:rPr>
        <w:t>Washington, D.C. Office</w:t>
      </w:r>
      <w:r>
        <w:rPr/>
        <w:t>: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International Square Building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1825 Eye Street, N.W.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Suite 1100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Washington, D.C.  20006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202-835-7500 – general phone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>202-835-7586 – general fax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ab/>
        <w:t>Steven Kramer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ab/>
        <w:t>202-835-7508 – direct dial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ab/>
        <w:t>202-263-7508 – direct fax</w:t>
      </w:r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  <w:tab/>
      </w:r>
      <w:hyperlink r:id="rId10">
        <w:r>
          <w:rPr>
            <w:rStyle w:val="Hyperlink"/>
          </w:rPr>
          <w:t>skramer@milbank.com</w:t>
        </w:r>
      </w:hyperlink>
    </w:p>
    <w:p>
      <w:pPr>
        <w:pStyle w:val="Normal"/>
        <w:keepNext w:val="true"/>
        <w:keepLines/>
        <w:tabs>
          <w:tab w:val="left" w:pos="720" w:leader="none"/>
        </w:tabs>
        <w:rPr/>
      </w:pPr>
      <w:r>
        <w:rPr/>
      </w:r>
    </w:p>
    <w:sectPr>
      <w:type w:val="continuous"/>
      <w:pgSz w:w="12240" w:h="15840"/>
      <w:pgMar w:left="1440" w:right="1440" w:gutter="0" w:header="0" w:top="1152" w:footer="720" w:bottom="1152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LA1:#6185144v1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  <w:b w:val="false"/>
      </w:rPr>
      <w:t>LA1:#6185144v1</w:t>
    </w:r>
    <w:r>
      <w:rPr>
        <w:b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singl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Section 1.1"/>
      <w:lvlJc w:val="start"/>
      <w:pPr>
        <w:tabs>
          <w:tab w:val="num" w:pos="252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(a)"/>
      <w:lvlJc w:val="start"/>
      <w:pPr>
        <w:tabs>
          <w:tab w:val="num" w:pos="1800"/>
        </w:tabs>
        <w:ind w:start="72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(%4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SECTION %1."/>
      <w:lvlJc w:val="start"/>
      <w:pPr>
        <w:tabs>
          <w:tab w:val="num" w:pos="2880"/>
        </w:tabs>
        <w:ind w:start="0" w:firstLine="144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isLgl/>
      <w:numFmt w:val="decimalZero"/>
      <w:lvlText w:val="%1.%2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520"/>
        </w:tabs>
        <w:ind w:start="720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2736"/>
        </w:tabs>
        <w:ind w:start="2736" w:hanging="936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DOC_ID" w:val="LA1:#6185144v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single"/>
      <w:vertAlign w:val="baseline"/>
    </w:rPr>
  </w:style>
  <w:style w:type="character" w:styleId="WW8Num2z1">
    <w:name w:val="WW8Num2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2">
    <w:name w:val="WW8Num3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color w:val="0000FF"/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zzmpTrailerItem">
    <w:name w:val="zzmpTrailerItem"/>
    <w:basedOn w:val="DefaultParagraphFont"/>
    <w:qFormat/>
    <w:rPr>
      <w:b/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0"/>
      <w:ind w:hanging="0" w:start="1440" w:end="1440"/>
    </w:pPr>
    <w:rPr/>
  </w:style>
  <w:style w:type="paragraph" w:styleId="1stline">
    <w:name w:val="1stline"/>
    <w:basedOn w:val="Normal"/>
    <w:qFormat/>
    <w:pPr>
      <w:suppressAutoHyphens w:val="true"/>
      <w:ind w:firstLine="1440" w:start="0" w:end="0"/>
    </w:pPr>
    <w:rPr>
      <w:lang w:eastAsia="en-US"/>
    </w:rPr>
  </w:style>
  <w:style w:type="paragraph" w:styleId="IPL1">
    <w:name w:val="IP_L1"/>
    <w:basedOn w:val="Normal"/>
    <w:next w:val="Normal"/>
    <w:qFormat/>
    <w:pPr>
      <w:keepNext w:val="true"/>
      <w:numPr>
        <w:ilvl w:val="0"/>
        <w:numId w:val="2"/>
      </w:numPr>
      <w:spacing w:before="240" w:after="240"/>
      <w:outlineLvl w:val="0"/>
    </w:pPr>
    <w:rPr>
      <w:caps/>
    </w:rPr>
  </w:style>
  <w:style w:type="paragraph" w:styleId="IPL2">
    <w:name w:val="IP_L2"/>
    <w:basedOn w:val="Normal"/>
    <w:next w:val="Normal"/>
    <w:qFormat/>
    <w:pPr>
      <w:numPr>
        <w:ilvl w:val="0"/>
        <w:numId w:val="2"/>
      </w:numPr>
      <w:spacing w:before="0" w:after="240"/>
      <w:outlineLvl w:val="1"/>
    </w:pPr>
    <w:rPr/>
  </w:style>
  <w:style w:type="paragraph" w:styleId="MAMergerL1">
    <w:name w:val="MAMerger_L1"/>
    <w:basedOn w:val="Normal"/>
    <w:next w:val="Normal"/>
    <w:qFormat/>
    <w:pPr>
      <w:keepNext w:val="true"/>
      <w:numPr>
        <w:ilvl w:val="0"/>
        <w:numId w:val="3"/>
      </w:numPr>
      <w:spacing w:before="240" w:after="240"/>
      <w:outlineLvl w:val="0"/>
    </w:pPr>
    <w:rPr>
      <w:cap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mailto:efeo@milbank.com" TargetMode="External"/><Relationship Id="rId5" Type="http://schemas.openxmlformats.org/officeDocument/2006/relationships/hyperlink" Target="mailto:apelton@milbank.com" TargetMode="External"/><Relationship Id="rId6" Type="http://schemas.openxmlformats.org/officeDocument/2006/relationships/hyperlink" Target="mailto:dmummery@milbank.com" TargetMode="External"/><Relationship Id="rId7" Type="http://schemas.openxmlformats.org/officeDocument/2006/relationships/hyperlink" Target="mailto:dhudanish@milbank.com" TargetMode="External"/><Relationship Id="rId8" Type="http://schemas.openxmlformats.org/officeDocument/2006/relationships/hyperlink" Target="mailto:smiller@milbank.com" TargetMode="External"/><Relationship Id="rId9" Type="http://schemas.openxmlformats.org/officeDocument/2006/relationships/hyperlink" Target="mailto:esanford@milbank.com" TargetMode="External"/><Relationship Id="rId10" Type="http://schemas.openxmlformats.org/officeDocument/2006/relationships/hyperlink" Target="mailto:skramer@milbank.com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2000-08-17T14:02:00Z</dcterms:created>
  <dc:creator>SDemeo</dc:creator>
  <dc:description/>
  <dc:language>en-CA</dc:language>
  <cp:lastModifiedBy>SDemeo</cp:lastModifiedBy>
  <cp:lastPrinted>2000-08-17T11:35:00Z</cp:lastPrinted>
  <dcterms:modified xsi:type="dcterms:W3CDTF">2000-08-17T16:07:00Z</dcterms:modified>
  <cp:revision>9</cp:revision>
  <dc:subject/>
  <dc:title>Word 8.0 Generic Normal Template, rev. 4/1/97, The Legal MacPac</dc:title>
</cp:coreProperties>
</file>