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720"/>
          <w:tab w:val="left" w:pos="4320" w:leader="none"/>
        </w:tabs>
        <w:rPr>
          <w:sz w:val="32"/>
        </w:rPr>
      </w:pPr>
      <w:r>
        <w:rPr>
          <w:sz w:val="32"/>
        </w:rPr>
        <w:t>Michael Simmons</w:t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4320" w:leader="none"/>
        </w:tabs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Office:  (713) 853-7842</w:t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4320" w:leader="none"/>
        </w:tabs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Mobile:  (713) 825-6803</w:t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4320" w:leader="none"/>
        </w:tabs>
        <w:jc w:val="center"/>
        <w:rPr>
          <w:rFonts w:ascii="Times New Roman" w:hAnsi="Times New Roman" w:cs="Times New Roman"/>
          <w:sz w:val="24"/>
        </w:rPr>
      </w:pPr>
      <w:hyperlink r:id="rId2">
        <w:r>
          <w:rPr>
            <w:rStyle w:val="Hyperlink"/>
            <w:rFonts w:cs="Times New Roman" w:ascii="Times New Roman" w:hAnsi="Times New Roman"/>
            <w:sz w:val="24"/>
          </w:rPr>
          <w:t>Michael_simmons@enron.net</w:t>
        </w:r>
      </w:hyperlink>
    </w:p>
    <w:p>
      <w:pPr>
        <w:pStyle w:val="Normal"/>
        <w:tabs>
          <w:tab w:val="clear" w:pos="720"/>
          <w:tab w:val="left" w:pos="2340" w:leader="none"/>
          <w:tab w:val="left" w:pos="7200" w:leader="none"/>
          <w:tab w:val="left" w:pos="8640" w:leader="none"/>
        </w:tabs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tabs>
          <w:tab w:val="clear" w:pos="720"/>
          <w:tab w:val="left" w:pos="2340" w:leader="none"/>
          <w:tab w:val="left" w:pos="8640" w:leader="none"/>
        </w:tabs>
        <w:rPr/>
      </w:pPr>
      <w:r>
        <w:rPr>
          <w:rFonts w:cs="Times New Roman" w:ascii="Times New Roman" w:hAnsi="Times New Roman"/>
          <w:b/>
          <w:sz w:val="24"/>
        </w:rPr>
        <w:t>Experience</w:t>
        <w:tab/>
        <w:t>Enron Corporation</w:t>
        <w:tab/>
        <w:tab/>
      </w:r>
      <w:r>
        <w:rPr>
          <w:rFonts w:cs="Times New Roman" w:ascii="Times New Roman" w:hAnsi="Times New Roman"/>
          <w:sz w:val="24"/>
        </w:rPr>
        <w:t>Houston, TX</w:t>
      </w:r>
      <w:r>
        <w:rPr>
          <w:rFonts w:cs="Times New Roman" w:ascii="Times New Roman" w:hAnsi="Times New Roman"/>
          <w:b/>
          <w:sz w:val="24"/>
        </w:rPr>
        <w:tab/>
      </w:r>
    </w:p>
    <w:p>
      <w:pPr>
        <w:pStyle w:val="Heading1"/>
        <w:tabs>
          <w:tab w:val="clear" w:pos="8100"/>
          <w:tab w:val="left" w:pos="2340" w:leader="none"/>
        </w:tabs>
        <w:ind w:hanging="0" w:start="0"/>
        <w:rPr/>
      </w:pPr>
      <w:r>
        <w:rPr/>
        <w:t>January 2001 -</w:t>
        <w:tab/>
      </w:r>
      <w:r>
        <w:rPr>
          <w:i/>
        </w:rPr>
        <w:t>Enron Global Semiconductor Services, Trader</w:t>
      </w:r>
    </w:p>
    <w:p>
      <w:pPr>
        <w:pStyle w:val="Heading1"/>
        <w:tabs>
          <w:tab w:val="clear" w:pos="8100"/>
          <w:tab w:val="left" w:pos="2340" w:leader="none"/>
          <w:tab w:val="left" w:pos="2610" w:leader="none"/>
        </w:tabs>
        <w:ind w:hanging="2610" w:start="2610" w:end="0"/>
        <w:rPr/>
      </w:pPr>
      <w:r>
        <w:rPr/>
        <w:t>Present</w:t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>Priced options, swaps, and swaptions for the DRAM trading risk book with a 10 million chip value at risk position limit (approximately $12.5 million)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610" w:leader="none"/>
        </w:tabs>
        <w:ind w:hanging="270" w:start="2610" w:end="0"/>
        <w:rPr/>
      </w:pPr>
      <w:r>
        <w:rPr>
          <w:rFonts w:cs="Times New Roman" w:ascii="Times New Roman" w:hAnsi="Times New Roman"/>
          <w:sz w:val="24"/>
        </w:rPr>
        <w:t>Brought the DRAM trading book to profitability (received control of the book with a $300 K loss and reversed the book to $50 K in positive earnings)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610" w:leader="none"/>
        </w:tabs>
        <w:ind w:hanging="270" w:start="2610" w:end="0"/>
        <w:rPr/>
      </w:pPr>
      <w:r>
        <w:rPr>
          <w:rFonts w:cs="Times New Roman" w:ascii="Times New Roman" w:hAnsi="Times New Roman"/>
          <w:sz w:val="24"/>
        </w:rPr>
        <w:t>Maintained the DRAM forward curve and had sole responsibility for adjusting the curve relative to new market information and counterparty feedback</w:t>
      </w:r>
    </w:p>
    <w:p>
      <w:pPr>
        <w:pStyle w:val="Heading1"/>
        <w:numPr>
          <w:ilvl w:val="0"/>
          <w:numId w:val="4"/>
        </w:numPr>
        <w:tabs>
          <w:tab w:val="left" w:pos="2340" w:leader="none"/>
          <w:tab w:val="left" w:pos="2610" w:leader="none"/>
          <w:tab w:val="left" w:pos="8100" w:leader="none"/>
        </w:tabs>
        <w:ind w:hanging="270" w:start="2610" w:end="0"/>
        <w:rPr/>
      </w:pPr>
      <w:r>
        <w:rPr/>
        <w:t>Completed financial modeling, scenario analysis, and commercial structuring for inventory financing and sales acceleration structures</w:t>
      </w:r>
    </w:p>
    <w:p>
      <w:pPr>
        <w:pStyle w:val="Normal"/>
        <w:rPr/>
      </w:pPr>
      <w:r>
        <w:rPr/>
      </w:r>
    </w:p>
    <w:p>
      <w:pPr>
        <w:pStyle w:val="Heading1"/>
        <w:tabs>
          <w:tab w:val="clear" w:pos="8100"/>
          <w:tab w:val="left" w:pos="2340" w:leader="none"/>
        </w:tabs>
        <w:ind w:hanging="0" w:start="0"/>
        <w:rPr/>
      </w:pPr>
      <w:r>
        <w:rPr/>
        <w:t>January 2000 -</w:t>
        <w:tab/>
      </w:r>
      <w:r>
        <w:rPr>
          <w:i/>
        </w:rPr>
        <w:t>Enron Industrial Markets, Pulp and Paper Group, Analyst</w:t>
      </w:r>
    </w:p>
    <w:p>
      <w:pPr>
        <w:pStyle w:val="Heading1"/>
        <w:tabs>
          <w:tab w:val="clear" w:pos="8100"/>
          <w:tab w:val="left" w:pos="2340" w:leader="none"/>
          <w:tab w:val="left" w:pos="2610" w:leader="none"/>
        </w:tabs>
        <w:ind w:hanging="2610" w:start="2610" w:end="0"/>
        <w:rPr/>
      </w:pPr>
      <w:r>
        <w:rPr/>
        <w:t>January 2001</w:t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>Completed financial modeling and acquisition related due diligence for multiple pulp and paper mills; deal notional values range from $10 million to $1 billion</w:t>
      </w:r>
    </w:p>
    <w:p>
      <w:pPr>
        <w:pStyle w:val="Heading1"/>
        <w:numPr>
          <w:ilvl w:val="0"/>
          <w:numId w:val="4"/>
        </w:numPr>
        <w:tabs>
          <w:tab w:val="left" w:pos="2340" w:leader="none"/>
          <w:tab w:val="left" w:pos="2610" w:leader="none"/>
          <w:tab w:val="left" w:pos="8100" w:leader="none"/>
        </w:tabs>
        <w:ind w:hanging="270" w:start="2610" w:end="0"/>
        <w:rPr/>
      </w:pPr>
      <w:r>
        <w:rPr/>
        <w:t xml:space="preserve">Supported commercial origination and trading efforts to develop and build the long side of Enron’s Pulp and Paper commodity trading and add supply depth to Clickpaper.com   </w:t>
      </w:r>
    </w:p>
    <w:p>
      <w:pPr>
        <w:pStyle w:val="Heading1"/>
        <w:tabs>
          <w:tab w:val="clear" w:pos="8100"/>
          <w:tab w:val="left" w:pos="2340" w:leader="none"/>
        </w:tabs>
        <w:ind w:hanging="0" w:start="0"/>
        <w:rPr/>
      </w:pPr>
      <w:r>
        <w:rPr/>
      </w:r>
    </w:p>
    <w:p>
      <w:pPr>
        <w:pStyle w:val="Heading1"/>
        <w:tabs>
          <w:tab w:val="clear" w:pos="8100"/>
          <w:tab w:val="left" w:pos="2340" w:leader="none"/>
        </w:tabs>
        <w:ind w:hanging="0" w:start="0"/>
        <w:rPr/>
      </w:pPr>
      <w:r>
        <w:rPr/>
        <w:t>August 1999 -</w:t>
        <w:tab/>
      </w:r>
      <w:r>
        <w:rPr>
          <w:i/>
        </w:rPr>
        <w:t>Restructuring Group, Analyst</w:t>
      </w:r>
    </w:p>
    <w:p>
      <w:pPr>
        <w:pStyle w:val="Heading1"/>
        <w:tabs>
          <w:tab w:val="clear" w:pos="8100"/>
          <w:tab w:val="left" w:pos="2340" w:leader="none"/>
          <w:tab w:val="left" w:pos="2610" w:leader="none"/>
        </w:tabs>
        <w:ind w:hanging="2610" w:start="2610" w:end="0"/>
        <w:rPr/>
      </w:pPr>
      <w:r>
        <w:rPr/>
        <w:t>January 2000</w:t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>Completed financial modeling and liquidation analysis to support the restructuring of internal investments in distressed and under-performing companies</w:t>
      </w:r>
    </w:p>
    <w:p>
      <w:pPr>
        <w:pStyle w:val="Heading1"/>
        <w:numPr>
          <w:ilvl w:val="0"/>
          <w:numId w:val="6"/>
        </w:numPr>
        <w:tabs>
          <w:tab w:val="clear" w:pos="8100"/>
          <w:tab w:val="left" w:pos="2340" w:leader="none"/>
          <w:tab w:val="left" w:pos="2610" w:leader="none"/>
        </w:tabs>
        <w:ind w:hanging="270" w:start="2610" w:end="0"/>
        <w:rPr/>
      </w:pPr>
      <w:r>
        <w:rPr/>
        <w:t>Completed financial modeling and due diligence analysis to support the acquisition of and turnaround of financially distressed energy related public companies</w:t>
      </w:r>
    </w:p>
    <w:p>
      <w:pPr>
        <w:pStyle w:val="Heading1"/>
        <w:numPr>
          <w:ilvl w:val="0"/>
          <w:numId w:val="5"/>
        </w:numPr>
        <w:tabs>
          <w:tab w:val="left" w:pos="2610" w:leader="none"/>
          <w:tab w:val="left" w:pos="8100" w:leader="none"/>
        </w:tabs>
        <w:ind w:hanging="270" w:start="2610" w:end="0"/>
        <w:rPr/>
      </w:pPr>
      <w:r>
        <w:rPr/>
        <w:t>Developed a distressed debt database to evaluate prospective investments</w:t>
      </w:r>
    </w:p>
    <w:p>
      <w:pPr>
        <w:pStyle w:val="Normal"/>
        <w:tabs>
          <w:tab w:val="clear" w:pos="720"/>
          <w:tab w:val="left" w:pos="2340" w:leader="none"/>
        </w:tabs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2340" w:leader="none"/>
        </w:tabs>
        <w:rPr/>
      </w:pPr>
      <w:r>
        <w:rPr>
          <w:rFonts w:cs="Times New Roman" w:ascii="Times New Roman" w:hAnsi="Times New Roman"/>
          <w:sz w:val="24"/>
        </w:rPr>
        <w:t>June 1999 -</w:t>
      </w:r>
      <w:r>
        <w:rPr>
          <w:rFonts w:cs="Times New Roman" w:ascii="Times New Roman" w:hAnsi="Times New Roman"/>
          <w:b/>
          <w:sz w:val="24"/>
        </w:rPr>
        <w:tab/>
      </w:r>
      <w:r>
        <w:rPr>
          <w:rFonts w:cs="Times New Roman" w:ascii="Times New Roman" w:hAnsi="Times New Roman"/>
          <w:i/>
          <w:sz w:val="24"/>
        </w:rPr>
        <w:t>Enron International: Global Investments, Analyst</w:t>
      </w:r>
    </w:p>
    <w:p>
      <w:pPr>
        <w:pStyle w:val="Heading1"/>
        <w:tabs>
          <w:tab w:val="clear" w:pos="8100"/>
          <w:tab w:val="left" w:pos="2340" w:leader="none"/>
          <w:tab w:val="left" w:pos="2610" w:leader="none"/>
        </w:tabs>
        <w:ind w:hanging="2340" w:start="2340" w:end="0"/>
        <w:rPr/>
      </w:pPr>
      <w:r>
        <w:rPr/>
        <w:t>August 1999</w:t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>Executed analyst functions in supporting Enron International’s M&amp;A transactions</w:t>
      </w:r>
    </w:p>
    <w:p>
      <w:pPr>
        <w:pStyle w:val="Heading1"/>
        <w:numPr>
          <w:ilvl w:val="0"/>
          <w:numId w:val="7"/>
        </w:numPr>
        <w:tabs>
          <w:tab w:val="clear" w:pos="8100"/>
          <w:tab w:val="left" w:pos="2340" w:leader="none"/>
          <w:tab w:val="left" w:pos="2610" w:leader="none"/>
        </w:tabs>
        <w:ind w:hanging="270" w:start="2610" w:end="0"/>
        <w:rPr>
          <w:b/>
        </w:rPr>
      </w:pPr>
      <w:r>
        <w:rPr/>
        <w:t>Deals include: the acquisition of an Indonesian gas field and a business combination in the Venezuelan propane industry</w:t>
      </w:r>
    </w:p>
    <w:p>
      <w:pPr>
        <w:pStyle w:val="Normal"/>
        <w:tabs>
          <w:tab w:val="clear" w:pos="720"/>
          <w:tab w:val="left" w:pos="2340" w:leader="none"/>
        </w:tabs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tabs>
          <w:tab w:val="clear" w:pos="720"/>
          <w:tab w:val="left" w:pos="2340" w:leader="none"/>
          <w:tab w:val="left" w:pos="9360" w:leader="none"/>
        </w:tabs>
        <w:rPr/>
      </w:pPr>
      <w:r>
        <w:rPr>
          <w:rFonts w:cs="Times New Roman" w:ascii="Times New Roman" w:hAnsi="Times New Roman"/>
          <w:sz w:val="24"/>
        </w:rPr>
        <w:t>Fall 1998 -</w:t>
      </w:r>
      <w:r>
        <w:rPr>
          <w:rFonts w:cs="Times New Roman" w:ascii="Times New Roman" w:hAnsi="Times New Roman"/>
          <w:b/>
          <w:sz w:val="24"/>
        </w:rPr>
        <w:tab/>
        <w:t>The University of Texas MBA Investment Fund, LLC</w:t>
        <w:tab/>
      </w:r>
      <w:r>
        <w:rPr>
          <w:rFonts w:cs="Times New Roman" w:ascii="Times New Roman" w:hAnsi="Times New Roman"/>
          <w:sz w:val="24"/>
        </w:rPr>
        <w:t>Austin, TX</w:t>
      </w:r>
    </w:p>
    <w:p>
      <w:pPr>
        <w:pStyle w:val="Normal"/>
        <w:tabs>
          <w:tab w:val="clear" w:pos="720"/>
          <w:tab w:val="left" w:pos="2340" w:leader="none"/>
          <w:tab w:val="left" w:pos="7200" w:leader="none"/>
          <w:tab w:val="left" w:pos="8640" w:leader="none"/>
        </w:tabs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Spring 1999</w:t>
        <w:tab/>
      </w:r>
      <w:r>
        <w:rPr>
          <w:rFonts w:cs="Times New Roman" w:ascii="Times New Roman" w:hAnsi="Times New Roman"/>
          <w:i/>
          <w:sz w:val="24"/>
        </w:rPr>
        <w:t>Energy Sector, Financial Analyst</w:t>
      </w:r>
    </w:p>
    <w:p>
      <w:pPr>
        <w:pStyle w:val="Normal"/>
        <w:tabs>
          <w:tab w:val="clear" w:pos="720"/>
          <w:tab w:val="left" w:pos="2340" w:leader="none"/>
          <w:tab w:val="left" w:pos="2700" w:leader="none"/>
          <w:tab w:val="left" w:pos="7200" w:leader="none"/>
          <w:tab w:val="left" w:pos="8640" w:leader="none"/>
        </w:tabs>
        <w:ind w:hanging="2610" w:start="2610" w:end="0"/>
        <w:rPr/>
      </w:pPr>
      <w:r>
        <w:rPr>
          <w:rFonts w:cs="Times New Roman" w:ascii="Times New Roman" w:hAnsi="Times New Roman"/>
          <w:b/>
          <w:sz w:val="24"/>
        </w:rPr>
        <w:tab/>
      </w:r>
      <w:r>
        <w:rPr>
          <w:rFonts w:cs="Symbol" w:ascii="Symbol" w:hAnsi="Symbol"/>
          <w:sz w:val="24"/>
        </w:rPr>
        <w:sym w:font="Symbol" w:char="f0b7"/>
      </w:r>
      <w:r>
        <w:rPr>
          <w:rFonts w:cs="Times New Roman" w:ascii="Times New Roman" w:hAnsi="Times New Roman"/>
          <w:sz w:val="24"/>
        </w:rPr>
        <w:tab/>
        <w:t>Completed fundamental industry analyses and created equity valuation models</w:t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340" w:leader="none"/>
          <w:tab w:val="left" w:pos="2610" w:leader="none"/>
          <w:tab w:val="left" w:pos="2790" w:leader="none"/>
          <w:tab w:val="left" w:pos="7200" w:leader="none"/>
          <w:tab w:val="left" w:pos="8640" w:leader="none"/>
        </w:tabs>
        <w:ind w:hanging="360" w:start="270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Presented investment opinions to managers and advisors of a $10 million fund</w:t>
      </w:r>
    </w:p>
    <w:p>
      <w:pPr>
        <w:pStyle w:val="Normal"/>
        <w:tabs>
          <w:tab w:val="clear" w:pos="720"/>
          <w:tab w:val="left" w:pos="2340" w:leader="none"/>
          <w:tab w:val="left" w:pos="7200" w:leader="none"/>
          <w:tab w:val="left" w:pos="8640" w:leader="none"/>
        </w:tabs>
        <w:ind w:firstLine="234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</w:r>
    </w:p>
    <w:p>
      <w:pPr>
        <w:pStyle w:val="Normal"/>
        <w:tabs>
          <w:tab w:val="clear" w:pos="720"/>
          <w:tab w:val="left" w:pos="2340" w:leader="none"/>
          <w:tab w:val="left" w:pos="2700" w:leader="none"/>
          <w:tab w:val="left" w:pos="7200" w:leader="none"/>
          <w:tab w:val="left" w:pos="8640" w:leader="none"/>
        </w:tabs>
        <w:rPr/>
      </w:pPr>
      <w:r>
        <w:rPr>
          <w:rFonts w:cs="Times New Roman" w:ascii="Times New Roman" w:hAnsi="Times New Roman"/>
          <w:sz w:val="24"/>
        </w:rPr>
        <w:t>Summer 1998</w:t>
        <w:tab/>
      </w:r>
      <w:r>
        <w:rPr>
          <w:rFonts w:cs="Times New Roman" w:ascii="Times New Roman" w:hAnsi="Times New Roman"/>
          <w:b/>
          <w:sz w:val="24"/>
        </w:rPr>
        <w:t>Central and Southwest Corporation</w:t>
      </w:r>
      <w:r>
        <w:rPr>
          <w:rFonts w:cs="Times New Roman" w:ascii="Times New Roman" w:hAnsi="Times New Roman"/>
          <w:sz w:val="24"/>
        </w:rPr>
        <w:tab/>
        <w:tab/>
        <w:tab/>
        <w:t>Dallas, TX</w:t>
      </w:r>
    </w:p>
    <w:p>
      <w:pPr>
        <w:pStyle w:val="Normal"/>
        <w:tabs>
          <w:tab w:val="clear" w:pos="720"/>
          <w:tab w:val="left" w:pos="2340" w:leader="none"/>
          <w:tab w:val="left" w:pos="7200" w:leader="none"/>
          <w:tab w:val="left" w:pos="8640" w:leader="none"/>
        </w:tabs>
        <w:rPr/>
      </w:pPr>
      <w:r>
        <w:rPr>
          <w:rFonts w:cs="Times New Roman" w:ascii="Times New Roman" w:hAnsi="Times New Roman"/>
          <w:b/>
          <w:sz w:val="24"/>
        </w:rPr>
        <w:tab/>
      </w:r>
      <w:r>
        <w:rPr>
          <w:rFonts w:cs="Times New Roman" w:ascii="Times New Roman" w:hAnsi="Times New Roman"/>
          <w:i/>
          <w:sz w:val="24"/>
        </w:rPr>
        <w:t>Treasury Intern</w:t>
      </w:r>
    </w:p>
    <w:p>
      <w:pPr>
        <w:pStyle w:val="Normal"/>
        <w:tabs>
          <w:tab w:val="clear" w:pos="720"/>
          <w:tab w:val="left" w:pos="2340" w:leader="none"/>
          <w:tab w:val="left" w:pos="7200" w:leader="none"/>
          <w:tab w:val="left" w:pos="8640" w:leader="none"/>
        </w:tabs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</w:r>
    </w:p>
    <w:p>
      <w:pPr>
        <w:pStyle w:val="Normal"/>
        <w:tabs>
          <w:tab w:val="clear" w:pos="720"/>
          <w:tab w:val="left" w:pos="2340" w:leader="none"/>
          <w:tab w:val="left" w:pos="7200" w:leader="none"/>
          <w:tab w:val="left" w:pos="8640" w:leader="none"/>
        </w:tabs>
        <w:rPr/>
      </w:pPr>
      <w:r>
        <w:rPr>
          <w:rFonts w:cs="Times New Roman" w:ascii="Times New Roman" w:hAnsi="Times New Roman"/>
          <w:sz w:val="24"/>
        </w:rPr>
        <w:t>Summer 1997-</w:t>
        <w:tab/>
      </w:r>
      <w:r>
        <w:rPr>
          <w:rFonts w:cs="Times New Roman" w:ascii="Times New Roman" w:hAnsi="Times New Roman"/>
          <w:b/>
          <w:sz w:val="24"/>
        </w:rPr>
        <w:t>First USA Bank</w:t>
        <w:tab/>
        <w:tab/>
        <w:tab/>
      </w:r>
      <w:r>
        <w:rPr>
          <w:rFonts w:cs="Times New Roman" w:ascii="Times New Roman" w:hAnsi="Times New Roman"/>
          <w:sz w:val="24"/>
        </w:rPr>
        <w:t>Austin, TX</w:t>
      </w:r>
    </w:p>
    <w:p>
      <w:pPr>
        <w:pStyle w:val="Normal"/>
        <w:tabs>
          <w:tab w:val="clear" w:pos="720"/>
          <w:tab w:val="left" w:pos="2340" w:leader="none"/>
          <w:tab w:val="left" w:pos="7200" w:leader="none"/>
        </w:tabs>
        <w:rPr/>
      </w:pPr>
      <w:r>
        <w:rPr>
          <w:rFonts w:cs="Times New Roman" w:ascii="Times New Roman" w:hAnsi="Times New Roman"/>
          <w:sz w:val="24"/>
        </w:rPr>
        <w:t>Spring 1998</w:t>
        <w:tab/>
      </w:r>
      <w:r>
        <w:rPr>
          <w:rFonts w:cs="Times New Roman" w:ascii="Times New Roman" w:hAnsi="Times New Roman"/>
          <w:i/>
          <w:sz w:val="24"/>
        </w:rPr>
        <w:t>Consumer Credit Division Financial Intern</w:t>
      </w:r>
    </w:p>
    <w:p>
      <w:pPr>
        <w:pStyle w:val="Normal"/>
        <w:tabs>
          <w:tab w:val="clear" w:pos="720"/>
          <w:tab w:val="left" w:pos="2340" w:leader="none"/>
          <w:tab w:val="left" w:pos="7200" w:leader="none"/>
          <w:tab w:val="left" w:pos="8640" w:leader="none"/>
        </w:tabs>
        <w:rPr>
          <w:rFonts w:ascii="Times New Roman" w:hAnsi="Times New Roman" w:cs="Times New Roman"/>
          <w:b/>
          <w:i/>
          <w:i/>
          <w:sz w:val="24"/>
        </w:rPr>
      </w:pPr>
      <w:r>
        <w:rPr>
          <w:rFonts w:cs="Times New Roman" w:ascii="Times New Roman" w:hAnsi="Times New Roman"/>
          <w:b/>
          <w:i/>
          <w:sz w:val="24"/>
        </w:rPr>
      </w:r>
    </w:p>
    <w:p>
      <w:pPr>
        <w:pStyle w:val="Normal"/>
        <w:tabs>
          <w:tab w:val="clear" w:pos="720"/>
          <w:tab w:val="left" w:pos="2340" w:leader="none"/>
          <w:tab w:val="left" w:pos="7200" w:leader="none"/>
          <w:tab w:val="left" w:pos="8640" w:leader="none"/>
        </w:tabs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4"/>
        </w:rPr>
        <w:t xml:space="preserve">Education                    </w:t>
        <w:tab/>
        <w:t>The University of Texas at Austin</w:t>
        <w:tab/>
        <w:tab/>
        <w:tab/>
      </w:r>
      <w:r>
        <w:rPr>
          <w:rFonts w:cs="Times New Roman" w:ascii="Times New Roman" w:hAnsi="Times New Roman"/>
          <w:sz w:val="24"/>
        </w:rPr>
        <w:t>May 1999</w:t>
      </w:r>
      <w:r>
        <w:rPr>
          <w:rFonts w:cs="Times New Roman" w:ascii="Times New Roman" w:hAnsi="Times New Roman"/>
          <w:b/>
          <w:sz w:val="24"/>
        </w:rPr>
        <w:t xml:space="preserve">                                                       </w:t>
      </w:r>
    </w:p>
    <w:p>
      <w:pPr>
        <w:pStyle w:val="Normal"/>
        <w:tabs>
          <w:tab w:val="clear" w:pos="720"/>
          <w:tab w:val="left" w:pos="2340" w:leader="none"/>
        </w:tabs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>BBA Degree: Business Honors and Finance</w:t>
      </w:r>
    </w:p>
    <w:p>
      <w:pPr>
        <w:pStyle w:val="Normal"/>
        <w:tabs>
          <w:tab w:val="clear" w:pos="720"/>
          <w:tab w:val="left" w:pos="2340" w:leader="none"/>
        </w:tabs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</w:rPr>
        <w:tab/>
        <w:t xml:space="preserve">Cumulative GPA: 3.6, Finance GPA: 4.0  </w:t>
      </w:r>
    </w:p>
    <w:p>
      <w:pPr>
        <w:pStyle w:val="Normal"/>
        <w:tabs>
          <w:tab w:val="clear" w:pos="720"/>
          <w:tab w:val="left" w:pos="2340" w:leader="none"/>
          <w:tab w:val="left" w:pos="7200" w:leader="none"/>
        </w:tabs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2340" w:leader="none"/>
          <w:tab w:val="left" w:pos="2430" w:leader="none"/>
          <w:tab w:val="left" w:pos="2610" w:leader="none"/>
        </w:tabs>
        <w:rPr/>
      </w:pPr>
      <w:r>
        <w:rPr>
          <w:rFonts w:cs="Times New Roman" w:ascii="Times New Roman" w:hAnsi="Times New Roman"/>
          <w:b/>
          <w:sz w:val="24"/>
        </w:rPr>
        <w:t>Honors &amp;</w:t>
      </w:r>
      <w:r>
        <w:rPr>
          <w:rFonts w:cs="Times New Roman" w:ascii="Times New Roman" w:hAnsi="Times New Roman"/>
          <w:sz w:val="24"/>
        </w:rPr>
        <w:tab/>
      </w:r>
      <w:r>
        <w:rPr>
          <w:rFonts w:cs="Symbol" w:ascii="Symbol" w:hAnsi="Symbol"/>
          <w:sz w:val="24"/>
        </w:rPr>
        <w:sym w:font="Symbol" w:char="f0b7"/>
      </w:r>
      <w:r>
        <w:rPr>
          <w:rFonts w:cs="Times New Roman" w:ascii="Times New Roman" w:hAnsi="Times New Roman"/>
          <w:sz w:val="24"/>
        </w:rPr>
        <w:t xml:space="preserve"> </w:t>
        <w:tab/>
        <w:t>CFA candidate, level 2</w:t>
      </w:r>
    </w:p>
    <w:p>
      <w:pPr>
        <w:pStyle w:val="Heading1"/>
        <w:tabs>
          <w:tab w:val="clear" w:pos="8100"/>
          <w:tab w:val="left" w:pos="2340" w:leader="none"/>
          <w:tab w:val="left" w:pos="2430" w:leader="none"/>
          <w:tab w:val="left" w:pos="2610" w:leader="none"/>
        </w:tabs>
        <w:ind w:hanging="0" w:start="0"/>
        <w:rPr/>
      </w:pPr>
      <w:r>
        <w:rPr>
          <w:b/>
        </w:rPr>
        <w:t>Activities</w:t>
      </w: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ab/>
        <w:t>Dean’s List and University Honors</w:t>
      </w:r>
    </w:p>
    <w:sectPr>
      <w:type w:val="nextPage"/>
      <w:pgSz w:w="12240" w:h="15840"/>
      <w:pgMar w:left="576" w:right="576" w:gutter="0" w:header="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Times New Roman" w:cs="MS Sans Serif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8100" w:leader="none"/>
      </w:tabs>
      <w:outlineLvl w:val="0"/>
    </w:pPr>
    <w:rPr>
      <w:rFonts w:ascii="Times New Roman" w:hAnsi="Times New Roman" w:cs="Times New Roman"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cs="Times New Roman"/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tabs>
        <w:tab w:val="clear" w:pos="720"/>
        <w:tab w:val="left" w:pos="4500" w:leader="none"/>
        <w:tab w:val="left" w:pos="8100" w:leader="none"/>
      </w:tabs>
      <w:jc w:val="center"/>
    </w:pPr>
    <w:rPr>
      <w:rFonts w:ascii="Times New Roman" w:hAnsi="Times New Roman" w:cs="Times New Roman"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chael_simmons@enron.ne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2001-11-14T19:39:00Z</dcterms:created>
  <dc:creator>Administrator</dc:creator>
  <dc:description/>
  <dc:language>en-CA</dc:language>
  <cp:lastModifiedBy>msimmon</cp:lastModifiedBy>
  <cp:lastPrinted>2001-10-16T11:03:00Z</cp:lastPrinted>
  <dcterms:modified xsi:type="dcterms:W3CDTF">2001-11-14T19:39:00Z</dcterms:modified>
  <cp:revision>2</cp:revision>
  <dc:subject/>
  <dc:title>Michael Simmons</dc:title>
</cp:coreProperties>
</file>