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July 30 through August 3,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August 6 through August 10</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Florida</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Cs/>
          <w:sz w:val="22"/>
        </w:rPr>
      </w:pPr>
      <w:r>
        <w:rPr>
          <w:rFonts w:cs="Arial" w:ascii="Arial" w:hAnsi="Arial"/>
          <w:b/>
          <w:sz w:val="22"/>
          <w:u w:val="single"/>
        </w:rPr>
        <w:t>Accounts Receivable</w:t>
      </w:r>
    </w:p>
    <w:p>
      <w:pPr>
        <w:pStyle w:val="Normal"/>
        <w:numPr>
          <w:ilvl w:val="0"/>
          <w:numId w:val="6"/>
        </w:numPr>
        <w:rPr>
          <w:rFonts w:ascii="Arial" w:hAnsi="Arial" w:cs="Arial"/>
          <w:bCs/>
          <w:sz w:val="22"/>
        </w:rPr>
      </w:pPr>
      <w:r>
        <w:rPr>
          <w:rFonts w:cs="Arial" w:ascii="Arial" w:hAnsi="Arial"/>
          <w:bCs/>
          <w:sz w:val="22"/>
        </w:rPr>
        <w:t>Kathy S. collected $2,528.75 in late fees from El Paso Merchant Energy.</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3"/>
        </w:numPr>
        <w:rPr>
          <w:rFonts w:ascii="Arial" w:hAnsi="Arial" w:cs="Arial"/>
          <w:bCs/>
          <w:sz w:val="22"/>
        </w:rPr>
      </w:pPr>
      <w:r>
        <w:rPr>
          <w:rFonts w:cs="Arial" w:ascii="Arial" w:hAnsi="Arial"/>
          <w:bCs/>
          <w:sz w:val="22"/>
        </w:rPr>
        <w:t>James worked with Nicor Gas control and Gary to reduce Nicor OBA imbalance.</w:t>
      </w:r>
    </w:p>
    <w:p>
      <w:pPr>
        <w:pStyle w:val="Normal"/>
        <w:numPr>
          <w:ilvl w:val="0"/>
          <w:numId w:val="3"/>
        </w:numPr>
        <w:rPr>
          <w:rFonts w:ascii="Arial" w:hAnsi="Arial" w:cs="Arial"/>
          <w:sz w:val="22"/>
        </w:rPr>
      </w:pPr>
      <w:r>
        <w:rPr>
          <w:rFonts w:cs="Arial" w:ascii="Arial" w:hAnsi="Arial"/>
          <w:sz w:val="22"/>
        </w:rPr>
        <w:t>Tim traded imbalances in the amount of 215,000 to FGT and 80,000 to Operators.</w:t>
      </w:r>
    </w:p>
    <w:p>
      <w:pPr>
        <w:pStyle w:val="Normal"/>
        <w:numPr>
          <w:ilvl w:val="0"/>
          <w:numId w:val="5"/>
        </w:numPr>
        <w:rPr>
          <w:rFonts w:ascii="Arial" w:hAnsi="Arial" w:cs="Arial"/>
          <w:sz w:val="22"/>
        </w:rPr>
      </w:pPr>
      <w:r>
        <w:rPr>
          <w:rFonts w:cs="Arial" w:ascii="Arial" w:hAnsi="Arial"/>
          <w:sz w:val="22"/>
        </w:rPr>
        <w:t>Joe, Harry, and Robert completed a reconciliation, which involved OBA Contract 105984 (Altura Gaines).  BP Amoco and Occidental Permian agreed to transfer 94,038 mmbtu from the OBA to Storage Contract (100360), which resulted in $9563 in revenue.</w:t>
      </w:r>
    </w:p>
    <w:p>
      <w:pPr>
        <w:pStyle w:val="Normal"/>
        <w:numPr>
          <w:ilvl w:val="0"/>
          <w:numId w:val="5"/>
        </w:numPr>
        <w:rPr>
          <w:rFonts w:ascii="Arial" w:hAnsi="Arial" w:cs="Arial"/>
          <w:sz w:val="22"/>
        </w:rPr>
      </w:pPr>
      <w:r>
        <w:rPr>
          <w:rFonts w:cs="Arial" w:ascii="Arial" w:hAnsi="Arial"/>
          <w:sz w:val="22"/>
        </w:rPr>
        <w:t>Harry and Tangie Dykes sent the final wire payment for the Bushton Litigation Settlement.</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3"/>
        </w:numPr>
        <w:rPr>
          <w:rFonts w:ascii="Arial" w:hAnsi="Arial" w:cs="Arial"/>
          <w:bCs/>
          <w:sz w:val="22"/>
        </w:rPr>
      </w:pPr>
      <w:r>
        <w:rPr>
          <w:rFonts w:cs="Arial" w:ascii="Arial" w:hAnsi="Arial"/>
          <w:bCs/>
          <w:sz w:val="22"/>
        </w:rPr>
        <w:t>James worked with Zuela and Kay to correct Pan Canadian Energy new packet contract 108129 Dunn# error.</w:t>
      </w:r>
    </w:p>
    <w:p>
      <w:pPr>
        <w:pStyle w:val="Normal"/>
        <w:numPr>
          <w:ilvl w:val="0"/>
          <w:numId w:val="3"/>
        </w:numPr>
        <w:rPr>
          <w:rFonts w:ascii="Arial" w:hAnsi="Arial" w:cs="Arial"/>
          <w:bCs/>
          <w:sz w:val="22"/>
        </w:rPr>
      </w:pPr>
      <w:r>
        <w:rPr>
          <w:rFonts w:cs="Arial" w:ascii="Arial" w:hAnsi="Arial"/>
          <w:bCs/>
          <w:sz w:val="22"/>
        </w:rPr>
        <w:t>James worked with Bill Lindary of Clayton Energy on new fuel rate calculation and notified various shippers of the new fuel rate change.</w:t>
      </w:r>
    </w:p>
    <w:p>
      <w:pPr>
        <w:pStyle w:val="Normal"/>
        <w:numPr>
          <w:ilvl w:val="0"/>
          <w:numId w:val="3"/>
        </w:numPr>
        <w:rPr>
          <w:rFonts w:ascii="Arial" w:hAnsi="Arial" w:cs="Arial"/>
          <w:bCs/>
          <w:sz w:val="22"/>
        </w:rPr>
      </w:pPr>
      <w:r>
        <w:rPr>
          <w:rFonts w:cs="Arial" w:ascii="Arial" w:hAnsi="Arial"/>
          <w:bCs/>
          <w:sz w:val="22"/>
        </w:rPr>
        <w:t>Jean B, due to Receipt Point Fuel Rate Exceptions, worked with Rita to resolve “FPC Code” on Tenaska (Matt Martindale) K107846, cleared in Intra Day II process.</w:t>
      </w:r>
    </w:p>
    <w:p>
      <w:pPr>
        <w:pStyle w:val="Normal"/>
        <w:numPr>
          <w:ilvl w:val="0"/>
          <w:numId w:val="3"/>
        </w:numPr>
        <w:rPr>
          <w:rFonts w:ascii="Arial" w:hAnsi="Arial" w:cs="Arial"/>
          <w:bCs/>
          <w:sz w:val="22"/>
        </w:rPr>
      </w:pPr>
      <w:r>
        <w:rPr>
          <w:rFonts w:cs="Arial" w:ascii="Arial" w:hAnsi="Arial"/>
          <w:bCs/>
          <w:sz w:val="22"/>
        </w:rPr>
        <w:t>Renee worked with Kelly Schneider of WP&amp;L and Raetta Zadow to add Zone D to the Negative Point Transfer List to keep WPS whole at TBS points behind Zone D.</w:t>
      </w:r>
    </w:p>
    <w:p>
      <w:pPr>
        <w:pStyle w:val="Normal"/>
        <w:numPr>
          <w:ilvl w:val="0"/>
          <w:numId w:val="3"/>
        </w:numPr>
        <w:rPr>
          <w:rFonts w:ascii="Arial" w:hAnsi="Arial" w:cs="Arial"/>
          <w:sz w:val="22"/>
        </w:rPr>
      </w:pPr>
      <w:r>
        <w:rPr>
          <w:rFonts w:cs="Arial" w:ascii="Arial" w:hAnsi="Arial"/>
          <w:sz w:val="22"/>
        </w:rPr>
        <w:t>Tim met with Gary Sobzac and Mark Broder of Entergy to discuss future expansion of the GSU-Calcasieu interconnect with FGT. The expansion potentially increased the interconnect by 100,000-150,000 MMBtu/d.</w:t>
      </w:r>
    </w:p>
    <w:p>
      <w:pPr>
        <w:pStyle w:val="Normal"/>
        <w:numPr>
          <w:ilvl w:val="0"/>
          <w:numId w:val="3"/>
        </w:numPr>
        <w:rPr>
          <w:rFonts w:ascii="Arial" w:hAnsi="Arial" w:cs="Arial"/>
          <w:sz w:val="22"/>
        </w:rPr>
      </w:pPr>
      <w:r>
        <w:rPr>
          <w:rFonts w:cs="Arial" w:ascii="Arial" w:hAnsi="Arial"/>
          <w:sz w:val="22"/>
        </w:rPr>
        <w:t>Tim met with Jim Studebaker and Rachel Cady to discuss the handling of P-N-R activity.</w:t>
      </w:r>
    </w:p>
    <w:p>
      <w:pPr>
        <w:pStyle w:val="Normal"/>
        <w:numPr>
          <w:ilvl w:val="0"/>
          <w:numId w:val="3"/>
        </w:numPr>
        <w:rPr>
          <w:rFonts w:ascii="Arial" w:hAnsi="Arial" w:cs="Arial"/>
          <w:sz w:val="22"/>
        </w:rPr>
      </w:pPr>
      <w:r>
        <w:rPr>
          <w:rFonts w:cs="Arial" w:ascii="Arial" w:hAnsi="Arial"/>
          <w:sz w:val="22"/>
        </w:rPr>
        <w:t>Tim met with Wesley Lui and Cynthia Reyna of Tennessee Gas (El Paso) to discuss the Carnes interconnect OBA Imbalance.</w:t>
      </w:r>
    </w:p>
    <w:p>
      <w:pPr>
        <w:pStyle w:val="Normal"/>
        <w:numPr>
          <w:ilvl w:val="0"/>
          <w:numId w:val="5"/>
        </w:numPr>
        <w:rPr>
          <w:rFonts w:ascii="Arial" w:hAnsi="Arial" w:cs="Arial"/>
          <w:bCs/>
          <w:sz w:val="22"/>
        </w:rPr>
      </w:pPr>
      <w:r>
        <w:rPr>
          <w:rFonts w:cs="Arial" w:ascii="Arial" w:hAnsi="Arial"/>
          <w:bCs/>
          <w:sz w:val="22"/>
        </w:rPr>
        <w:t>Debra &amp; Kathy S. met with Tricia Mclean and Mary Ward of Williams to discuss accounting issues for MOPS.  Later, that afternoon, scheduling issues were discussed with Jeff Brown of Williams.  Debra and Janet met with him.  These meeting were in reference to the possible sale of MOPS.</w:t>
      </w:r>
    </w:p>
    <w:p>
      <w:pPr>
        <w:pStyle w:val="Normal"/>
        <w:numPr>
          <w:ilvl w:val="0"/>
          <w:numId w:val="5"/>
        </w:numPr>
        <w:rPr>
          <w:rFonts w:ascii="Arial" w:hAnsi="Arial" w:cs="Arial"/>
          <w:bCs/>
          <w:sz w:val="22"/>
        </w:rPr>
      </w:pPr>
      <w:r>
        <w:rPr>
          <w:rFonts w:cs="Arial" w:ascii="Arial" w:hAnsi="Arial"/>
          <w:bCs/>
          <w:sz w:val="22"/>
        </w:rPr>
        <w:t xml:space="preserve">Randy, Joe and Robert coordinated an agreement between Oneok Marketing and Amarillo Natural gas.  The agreement involved creating a new Storage agreement and train the customers regarding the use of the 8:00 a.m. process; to align their physical burns with their scheduled volume. </w:t>
      </w:r>
    </w:p>
    <w:p>
      <w:pPr>
        <w:pStyle w:val="Normal"/>
        <w:rPr>
          <w:rFonts w:ascii="Arial" w:hAnsi="Arial" w:cs="Arial"/>
          <w:bCs/>
          <w:sz w:val="22"/>
        </w:rPr>
      </w:pPr>
      <w:r>
        <w:rPr>
          <w:rFonts w:cs="Arial" w:ascii="Arial" w:hAnsi="Arial"/>
          <w:bCs/>
          <w:sz w:val="22"/>
        </w:rPr>
      </w:r>
    </w:p>
    <w:p>
      <w:pPr>
        <w:pStyle w:val="Heading7"/>
        <w:ind w:hanging="0" w:start="0"/>
        <w:rPr>
          <w:rFonts w:cs="Arial"/>
          <w:bCs/>
        </w:rPr>
      </w:pPr>
      <w:r>
        <w:rPr>
          <w:rFonts w:cs="Arial"/>
          <w:bCs/>
        </w:rPr>
        <w:t>Training</w:t>
      </w:r>
    </w:p>
    <w:p>
      <w:pPr>
        <w:pStyle w:val="Normal"/>
        <w:numPr>
          <w:ilvl w:val="0"/>
          <w:numId w:val="2"/>
        </w:numPr>
        <w:rPr>
          <w:rFonts w:ascii="Arial" w:hAnsi="Arial" w:cs="Arial"/>
          <w:bCs/>
          <w:sz w:val="22"/>
        </w:rPr>
      </w:pPr>
      <w:r>
        <w:rPr>
          <w:rFonts w:cs="Arial" w:ascii="Arial" w:hAnsi="Arial"/>
          <w:bCs/>
          <w:sz w:val="22"/>
        </w:rPr>
        <w:t>James trained Karen in tracking Nicor OBA monthly imbalance.</w:t>
      </w:r>
    </w:p>
    <w:p>
      <w:pPr>
        <w:pStyle w:val="Normal"/>
        <w:numPr>
          <w:ilvl w:val="0"/>
          <w:numId w:val="5"/>
        </w:numPr>
        <w:rPr>
          <w:rFonts w:ascii="Arial" w:hAnsi="Arial" w:cs="Arial"/>
          <w:sz w:val="22"/>
        </w:rPr>
      </w:pPr>
      <w:r>
        <w:rPr>
          <w:rFonts w:cs="Arial" w:ascii="Arial" w:hAnsi="Arial"/>
          <w:bCs/>
          <w:sz w:val="22"/>
        </w:rPr>
        <w:t>Tangie trained Joe on the Oneok Allocation for Mobil/Oxy.</w:t>
      </w:r>
    </w:p>
    <w:p>
      <w:pPr>
        <w:pStyle w:val="Normal"/>
        <w:numPr>
          <w:ilvl w:val="0"/>
          <w:numId w:val="5"/>
        </w:numPr>
        <w:rPr>
          <w:rFonts w:ascii="Arial" w:hAnsi="Arial" w:cs="Arial"/>
          <w:sz w:val="22"/>
        </w:rPr>
      </w:pPr>
      <w:r>
        <w:rPr>
          <w:rFonts w:cs="Arial" w:ascii="Arial" w:hAnsi="Arial"/>
          <w:sz w:val="22"/>
        </w:rPr>
        <w:t>Debra has been working with Linda Laferla in the transition of  the MOPS  system to FGT.</w:t>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u w:val="single"/>
        </w:rPr>
      </w:pPr>
      <w:r>
        <w:rPr>
          <w:rFonts w:cs="Arial" w:ascii="Arial" w:hAnsi="Arial"/>
          <w:b/>
          <w:sz w:val="22"/>
          <w:u w:val="single"/>
        </w:rPr>
        <w:t>Coordinator</w:t>
      </w:r>
    </w:p>
    <w:p>
      <w:pPr>
        <w:pStyle w:val="Header"/>
        <w:tabs>
          <w:tab w:val="clear" w:pos="4320"/>
          <w:tab w:val="clear" w:pos="8640"/>
        </w:tabs>
        <w:rPr>
          <w:rFonts w:ascii="Arial" w:hAnsi="Arial" w:cs="Arial"/>
          <w:b/>
          <w:sz w:val="22"/>
        </w:rPr>
      </w:pPr>
      <w:r>
        <w:rPr>
          <w:rFonts w:cs="Arial" w:ascii="Arial" w:hAnsi="Arial"/>
          <w:b/>
          <w:sz w:val="22"/>
        </w:rPr>
        <w:t>John</w:t>
      </w:r>
    </w:p>
    <w:p>
      <w:pPr>
        <w:pStyle w:val="Header"/>
        <w:numPr>
          <w:ilvl w:val="0"/>
          <w:numId w:val="5"/>
        </w:numPr>
        <w:tabs>
          <w:tab w:val="clear" w:pos="4320"/>
          <w:tab w:val="clear" w:pos="8640"/>
        </w:tabs>
        <w:rPr>
          <w:rFonts w:ascii="Arial" w:hAnsi="Arial" w:cs="Arial"/>
          <w:bCs/>
          <w:sz w:val="22"/>
        </w:rPr>
      </w:pPr>
      <w:r>
        <w:rPr>
          <w:rFonts w:cs="Arial" w:ascii="Arial" w:hAnsi="Arial"/>
          <w:sz w:val="22"/>
        </w:rPr>
        <w:t>All three candidates interviewed for Associated Customers Services Representatives were offered positions and all three accepted. The Associates will start the first of September 2001.</w:t>
      </w:r>
    </w:p>
    <w:p>
      <w:pPr>
        <w:pStyle w:val="Header"/>
        <w:tabs>
          <w:tab w:val="clear" w:pos="4320"/>
          <w:tab w:val="clear" w:pos="8640"/>
        </w:tabs>
        <w:rPr>
          <w:rFonts w:ascii="Arial" w:hAnsi="Arial" w:cs="Arial"/>
          <w:bCs/>
          <w:sz w:val="22"/>
        </w:rPr>
      </w:pPr>
      <w:r>
        <w:rPr>
          <w:rFonts w:cs="Arial" w:ascii="Arial" w:hAnsi="Arial"/>
          <w:bCs/>
          <w:sz w:val="22"/>
        </w:rPr>
      </w:r>
    </w:p>
    <w:p>
      <w:pPr>
        <w:pStyle w:val="Normal"/>
        <w:spacing w:lineRule="atLeast" w:line="240"/>
        <w:rPr>
          <w:rFonts w:ascii="Arial" w:hAnsi="Arial" w:cs="Arial"/>
          <w:b/>
          <w:bCs/>
          <w:color w:val="000000"/>
          <w:sz w:val="22"/>
        </w:rPr>
      </w:pPr>
      <w:r>
        <w:rPr>
          <w:rFonts w:cs="Arial" w:ascii="Arial" w:hAnsi="Arial"/>
          <w:b/>
          <w:bCs/>
          <w:color w:val="000000"/>
          <w:sz w:val="22"/>
        </w:rPr>
        <w:t>Larry</w:t>
      </w:r>
    </w:p>
    <w:p>
      <w:pPr>
        <w:pStyle w:val="Normal"/>
        <w:numPr>
          <w:ilvl w:val="0"/>
          <w:numId w:val="5"/>
        </w:numPr>
        <w:autoSpaceDE w:val="false"/>
        <w:rPr>
          <w:rFonts w:ascii="Arial" w:hAnsi="Arial" w:cs="Arial"/>
          <w:sz w:val="22"/>
        </w:rPr>
      </w:pPr>
      <w:r>
        <w:rPr>
          <w:rFonts w:cs="Arial" w:ascii="Arial" w:hAnsi="Arial"/>
          <w:sz w:val="22"/>
        </w:rPr>
        <w:t>Started the beta test of Flowing Gas Phase II in production.  There are issues on security and are being looked at by the IT group.</w:t>
      </w:r>
    </w:p>
    <w:p>
      <w:pPr>
        <w:pStyle w:val="Normal"/>
        <w:autoSpaceDE w:val="false"/>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rPr>
          <w:rFonts w:ascii="Arial" w:hAnsi="Arial" w:cs="Arial"/>
          <w:b/>
          <w:u w:val="single"/>
        </w:rPr>
      </w:pPr>
      <w:r>
        <w:rPr>
          <w:rFonts w:cs="Arial" w:ascii="Arial" w:hAnsi="Arial"/>
          <w:sz w:val="14"/>
        </w:rPr>
        <w:t>MS Bullets 8.2.01</w:t>
      </w:r>
    </w:p>
    <w:p>
      <w:pPr>
        <w:pStyle w:val="Heading7"/>
        <w:ind w:hanging="0" w:start="0"/>
        <w:rPr>
          <w:rFonts w:eastAsia="Arial"/>
        </w:rPr>
      </w:pPr>
      <w:r>
        <w:rPr>
          <w:rFonts w:eastAsia="Arial"/>
        </w:rPr>
        <w:t xml:space="preserve"> </w:t>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b/>
          <w:u w:val="single"/>
        </w:rPr>
      </w:pPr>
      <w:r>
        <w:rPr>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r>
    </w:p>
    <w:p>
      <w:pPr>
        <w:pStyle w:val="Heading7"/>
        <w:ind w:hanging="0" w:start="0"/>
        <w:rPr>
          <w:rFonts w:ascii="Arial" w:hAnsi="Arial" w:cs="Arial"/>
          <w:b w:val="false"/>
          <w:u w:val="single"/>
        </w:rPr>
      </w:pPr>
      <w:r>
        <w:rPr>
          <w:rFonts w:cs="Arial"/>
          <w:b w:val="false"/>
          <w:u w:val="single"/>
        </w:rPr>
      </w:r>
    </w:p>
    <w:p>
      <w:pPr>
        <w:pStyle w:val="Normal"/>
        <w:rPr>
          <w:rFonts w:ascii="Arial" w:hAnsi="Arial" w:cs="Arial"/>
        </w:rPr>
      </w:pPr>
      <w:r>
        <w:rPr>
          <w:rFonts w:cs="Arial" w:ascii="Arial" w:hAnsi="Arial"/>
        </w:rPr>
      </w:r>
    </w:p>
    <w:p>
      <w:pPr>
        <w:pStyle w:val="Normal"/>
        <w:ind w:start="360" w:end="0"/>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rPr>
      </w:pPr>
      <w:r>
        <w:rPr>
          <w:rFonts w:cs="Arial" w:ascii="Arial" w:hAnsi="Arial"/>
          <w:b/>
          <w:bCs/>
        </w:rPr>
      </w:r>
    </w:p>
    <w:sectPr>
      <w:type w:val="nextPage"/>
      <w:pgSz w:w="12240" w:h="15840"/>
      <w:pgMar w:left="1440" w:right="1440" w:gutter="0" w:header="0" w:top="81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sz w:val="20"/>
    </w:rPr>
  </w:style>
  <w:style w:type="character" w:styleId="WW8Num134z1">
    <w:name w:val="WW8Num134z1"/>
    <w:qFormat/>
    <w:rPr>
      <w:rFonts w:ascii="Courier New" w:hAnsi="Courier New" w:cs="Courier New"/>
      <w:sz w:val="20"/>
    </w:rPr>
  </w:style>
  <w:style w:type="character" w:styleId="WW8Num134z2">
    <w:name w:val="WW8Num134z2"/>
    <w:qFormat/>
    <w:rPr>
      <w:rFonts w:ascii="Wingdings" w:hAnsi="Wingdings" w:cs="Wingdings"/>
      <w:sz w:val="20"/>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style>
  <w:style w:type="character" w:styleId="WW8Num412z0">
    <w:name w:val="WW8Num412z0"/>
    <w:qFormat/>
    <w:rPr>
      <w:rFonts w:ascii="Symbol" w:hAnsi="Symbol" w:cs="Symbol"/>
    </w:rPr>
  </w:style>
  <w:style w:type="character" w:styleId="WW8Num413z0">
    <w:name w:val="WW8Num413z0"/>
    <w:qFormat/>
    <w:rPr>
      <w:rFonts w:ascii="Symbol" w:hAnsi="Symbol" w:cs="Symbol"/>
      <w:sz w:val="20"/>
    </w:rPr>
  </w:style>
  <w:style w:type="character" w:styleId="WW8Num413z1">
    <w:name w:val="WW8Num413z1"/>
    <w:qFormat/>
    <w:rPr>
      <w:rFonts w:ascii="Courier New" w:hAnsi="Courier New" w:cs="Courier New"/>
      <w:sz w:val="20"/>
    </w:rPr>
  </w:style>
  <w:style w:type="character" w:styleId="WW8Num413z2">
    <w:name w:val="WW8Num413z2"/>
    <w:qFormat/>
    <w:rPr>
      <w:rFonts w:ascii="Wingdings" w:hAnsi="Wingdings" w:cs="Wingdings"/>
      <w:sz w:val="20"/>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color w:val="auto"/>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sz w:val="20"/>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sz w:val="20"/>
    </w:rPr>
  </w:style>
  <w:style w:type="character" w:styleId="WW8Num566z1">
    <w:name w:val="WW8Num566z1"/>
    <w:qFormat/>
    <w:rPr>
      <w:rFonts w:ascii="Courier New" w:hAnsi="Courier New" w:cs="Courier New"/>
      <w:sz w:val="20"/>
    </w:rPr>
  </w:style>
  <w:style w:type="character" w:styleId="WW8Num566z2">
    <w:name w:val="WW8Num566z2"/>
    <w:qFormat/>
    <w:rPr>
      <w:rFonts w:ascii="Wingdings" w:hAnsi="Wingdings" w:cs="Wingdings"/>
      <w:sz w:val="20"/>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Wingdings" w:hAnsi="Wingdings" w:cs="Wingdings"/>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color w:val="auto"/>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4z1">
    <w:name w:val="WW8Num644z1"/>
    <w:qFormat/>
    <w:rPr>
      <w:rFonts w:ascii="Courier New" w:hAnsi="Courier New" w:cs="Courier New"/>
    </w:rPr>
  </w:style>
  <w:style w:type="character" w:styleId="WW8Num644z2">
    <w:name w:val="WW8Num644z2"/>
    <w:qFormat/>
    <w:rPr>
      <w:rFonts w:ascii="Wingdings" w:hAnsi="Wingdings" w:cs="Wingdings"/>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Wingdings" w:hAnsi="Wingdings" w:cs="Wingdings"/>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Wingdings" w:hAnsi="Wingdings" w:cs="Wingdings"/>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0z1">
    <w:name w:val="WW8Num810z1"/>
    <w:qFormat/>
    <w:rPr>
      <w:rFonts w:ascii="Courier New" w:hAnsi="Courier New" w:cs="Courier New"/>
    </w:rPr>
  </w:style>
  <w:style w:type="character" w:styleId="WW8Num810z2">
    <w:name w:val="WW8Num810z2"/>
    <w:qFormat/>
    <w:rPr>
      <w:rFonts w:ascii="Wingdings" w:hAnsi="Wingdings" w:cs="Wingdings"/>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29z1">
    <w:name w:val="WW8Num829z1"/>
    <w:qFormat/>
    <w:rPr>
      <w:rFonts w:ascii="Courier New" w:hAnsi="Courier New" w:cs="Courier New"/>
    </w:rPr>
  </w:style>
  <w:style w:type="character" w:styleId="WW8Num829z2">
    <w:name w:val="WW8Num829z2"/>
    <w:qFormat/>
    <w:rPr>
      <w:rFonts w:ascii="Wingdings" w:hAnsi="Wingdings" w:cs="Wingdings"/>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Wingdings" w:hAnsi="Wingdings" w:cs="Wingdings"/>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color w:val="auto"/>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Wingdings" w:hAnsi="Wingdings" w:cs="Wingdings"/>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Wingdings" w:hAnsi="Wingdings" w:cs="Wingdings"/>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2z1">
    <w:name w:val="WW8Num1052z1"/>
    <w:qFormat/>
    <w:rPr>
      <w:rFonts w:ascii="Courier New" w:hAnsi="Courier New" w:cs="Courier New"/>
    </w:rPr>
  </w:style>
  <w:style w:type="character" w:styleId="WW8Num1052z2">
    <w:name w:val="WW8Num1052z2"/>
    <w:qFormat/>
    <w:rPr>
      <w:rFonts w:ascii="Wingdings" w:hAnsi="Wingdings" w:cs="Wingdings"/>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color w:val="auto"/>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Wingdings" w:hAnsi="Wingdings" w:cs="Wingdings"/>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6z1">
    <w:name w:val="WW8Num1136z1"/>
    <w:qFormat/>
    <w:rPr>
      <w:rFonts w:ascii="Courier New" w:hAnsi="Courier New" w:cs="Courier New"/>
    </w:rPr>
  </w:style>
  <w:style w:type="character" w:styleId="WW8Num1136z2">
    <w:name w:val="WW8Num1136z2"/>
    <w:qFormat/>
    <w:rPr>
      <w:rFonts w:ascii="Wingdings" w:hAnsi="Wingdings" w:cs="Wingdings"/>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59z1">
    <w:name w:val="WW8Num1159z1"/>
    <w:qFormat/>
    <w:rPr>
      <w:rFonts w:ascii="Courier New" w:hAnsi="Courier New" w:cs="Courier New"/>
    </w:rPr>
  </w:style>
  <w:style w:type="character" w:styleId="WW8Num1159z2">
    <w:name w:val="WW8Num1159z2"/>
    <w:qFormat/>
    <w:rPr>
      <w:rFonts w:ascii="Wingdings" w:hAnsi="Wingdings" w:cs="Wingdings"/>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3z1">
    <w:name w:val="WW8Num1173z1"/>
    <w:qFormat/>
    <w:rPr>
      <w:rFonts w:ascii="Courier New" w:hAnsi="Courier New" w:cs="Courier New"/>
    </w:rPr>
  </w:style>
  <w:style w:type="character" w:styleId="WW8Num1173z2">
    <w:name w:val="WW8Num1173z2"/>
    <w:qFormat/>
    <w:rPr>
      <w:rFonts w:ascii="Wingdings" w:hAnsi="Wingdings" w:cs="Wingdings"/>
    </w:rPr>
  </w:style>
  <w:style w:type="character" w:styleId="WW8Num1174z0">
    <w:name w:val="WW8Num1174z0"/>
    <w:qFormat/>
    <w:rPr>
      <w:rFonts w:ascii="Symbol" w:hAnsi="Symbol" w:cs="Symbol"/>
    </w:rPr>
  </w:style>
  <w:style w:type="character" w:styleId="WW8Num1174z1">
    <w:name w:val="WW8Num1174z1"/>
    <w:qFormat/>
    <w:rPr>
      <w:rFonts w:ascii="Courier New" w:hAnsi="Courier New" w:cs="Courier New"/>
    </w:rPr>
  </w:style>
  <w:style w:type="character" w:styleId="WW8Num1174z2">
    <w:name w:val="WW8Num1174z2"/>
    <w:qFormat/>
    <w:rPr>
      <w:rFonts w:ascii="Wingdings" w:hAnsi="Wingdings" w:cs="Wingdings"/>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2z1">
    <w:name w:val="WW8Num1222z1"/>
    <w:qFormat/>
    <w:rPr>
      <w:rFonts w:ascii="Courier New" w:hAnsi="Courier New" w:cs="Courier New"/>
    </w:rPr>
  </w:style>
  <w:style w:type="character" w:styleId="WW8Num1222z2">
    <w:name w:val="WW8Num1222z2"/>
    <w:qFormat/>
    <w:rPr>
      <w:rFonts w:ascii="Wingdings" w:hAnsi="Wingdings" w:cs="Wingdings"/>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2z1">
    <w:name w:val="WW8Num1232z1"/>
    <w:qFormat/>
    <w:rPr>
      <w:rFonts w:ascii="Courier New" w:hAnsi="Courier New" w:cs="Courier New"/>
    </w:rPr>
  </w:style>
  <w:style w:type="character" w:styleId="WW8Num1232z2">
    <w:name w:val="WW8Num1232z2"/>
    <w:qFormat/>
    <w:rPr>
      <w:rFonts w:ascii="Wingdings" w:hAnsi="Wingdings" w:cs="Wingdings"/>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39z1">
    <w:name w:val="WW8Num1239z1"/>
    <w:qFormat/>
    <w:rPr>
      <w:rFonts w:ascii="Courier New" w:hAnsi="Courier New" w:cs="Courier New"/>
    </w:rPr>
  </w:style>
  <w:style w:type="character" w:styleId="WW8Num1239z2">
    <w:name w:val="WW8Num1239z2"/>
    <w:qFormat/>
    <w:rPr>
      <w:rFonts w:ascii="Wingdings" w:hAnsi="Wingdings" w:cs="Wingdings"/>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Wingdings" w:hAnsi="Wingdings" w:cs="Wingdings"/>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6z1">
    <w:name w:val="WW8Num1316z1"/>
    <w:qFormat/>
    <w:rPr>
      <w:rFonts w:ascii="Courier New" w:hAnsi="Courier New" w:cs="Courier New"/>
    </w:rPr>
  </w:style>
  <w:style w:type="character" w:styleId="WW8Num1316z2">
    <w:name w:val="WW8Num1316z2"/>
    <w:qFormat/>
    <w:rPr>
      <w:rFonts w:ascii="Wingdings" w:hAnsi="Wingdings" w:cs="Wingdings"/>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2z1">
    <w:name w:val="WW8Num1322z1"/>
    <w:qFormat/>
    <w:rPr>
      <w:rFonts w:ascii="Courier New" w:hAnsi="Courier New" w:cs="Courier New"/>
    </w:rPr>
  </w:style>
  <w:style w:type="character" w:styleId="WW8Num1322z2">
    <w:name w:val="WW8Num1322z2"/>
    <w:qFormat/>
    <w:rPr>
      <w:rFonts w:ascii="Wingdings" w:hAnsi="Wingdings" w:cs="Wingdings"/>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1z1">
    <w:name w:val="WW8Num1331z1"/>
    <w:qFormat/>
    <w:rPr>
      <w:rFonts w:ascii="Courier New" w:hAnsi="Courier New" w:cs="Courier New"/>
    </w:rPr>
  </w:style>
  <w:style w:type="character" w:styleId="WW8Num1331z2">
    <w:name w:val="WW8Num1331z2"/>
    <w:qFormat/>
    <w:rPr>
      <w:rFonts w:ascii="Wingdings" w:hAnsi="Wingdings" w:cs="Wingdings"/>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8z1">
    <w:name w:val="WW8Num1348z1"/>
    <w:qFormat/>
    <w:rPr>
      <w:rFonts w:ascii="Courier New" w:hAnsi="Courier New" w:cs="Courier New"/>
    </w:rPr>
  </w:style>
  <w:style w:type="character" w:styleId="WW8Num1348z2">
    <w:name w:val="WW8Num1348z2"/>
    <w:qFormat/>
    <w:rPr>
      <w:rFonts w:ascii="Wingdings" w:hAnsi="Wingdings" w:cs="Wingdings"/>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69z1">
    <w:name w:val="WW8Num1369z1"/>
    <w:qFormat/>
    <w:rPr>
      <w:rFonts w:ascii="Courier New" w:hAnsi="Courier New" w:cs="Courier New"/>
    </w:rPr>
  </w:style>
  <w:style w:type="character" w:styleId="WW8Num1369z2">
    <w:name w:val="WW8Num1369z2"/>
    <w:qFormat/>
    <w:rPr>
      <w:rFonts w:ascii="Wingdings" w:hAnsi="Wingdings" w:cs="Wingdings"/>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5z1">
    <w:name w:val="WW8Num1375z1"/>
    <w:qFormat/>
    <w:rPr>
      <w:rFonts w:ascii="Courier New" w:hAnsi="Courier New" w:cs="Courier New"/>
    </w:rPr>
  </w:style>
  <w:style w:type="character" w:styleId="WW8Num1375z2">
    <w:name w:val="WW8Num1375z2"/>
    <w:qFormat/>
    <w:rPr>
      <w:rFonts w:ascii="Wingdings" w:hAnsi="Wingdings" w:cs="Wingdings"/>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2z1">
    <w:name w:val="WW8Num1392z1"/>
    <w:qFormat/>
    <w:rPr>
      <w:rFonts w:ascii="Courier New" w:hAnsi="Courier New" w:cs="Courier New"/>
    </w:rPr>
  </w:style>
  <w:style w:type="character" w:styleId="WW8Num1392z2">
    <w:name w:val="WW8Num1392z2"/>
    <w:qFormat/>
    <w:rPr>
      <w:rFonts w:ascii="Wingdings" w:hAnsi="Wingdings" w:cs="Wingdings"/>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5z1">
    <w:name w:val="WW8Num1395z1"/>
    <w:qFormat/>
    <w:rPr>
      <w:rFonts w:ascii="Courier New" w:hAnsi="Courier New" w:cs="Courier New"/>
    </w:rPr>
  </w:style>
  <w:style w:type="character" w:styleId="WW8Num1395z2">
    <w:name w:val="WW8Num1395z2"/>
    <w:qFormat/>
    <w:rPr>
      <w:rFonts w:ascii="Wingdings" w:hAnsi="Wingdings" w:cs="Wingdings"/>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8z1">
    <w:name w:val="WW8Num1448z1"/>
    <w:qFormat/>
    <w:rPr>
      <w:rFonts w:ascii="Courier New" w:hAnsi="Courier New" w:cs="Courier New"/>
    </w:rPr>
  </w:style>
  <w:style w:type="character" w:styleId="WW8Num1448z2">
    <w:name w:val="WW8Num1448z2"/>
    <w:qFormat/>
    <w:rPr>
      <w:rFonts w:ascii="Wingdings" w:hAnsi="Wingdings" w:cs="Wingdings"/>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4"/>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2001-08-02T13:59:00Z</dcterms:created>
  <dc:creator>ET&amp;S</dc:creator>
  <dc:description/>
  <dc:language>en-CA</dc:language>
  <cp:lastModifiedBy>agarcia6</cp:lastModifiedBy>
  <cp:lastPrinted>2001-07-26T13:53:00Z</cp:lastPrinted>
  <dcterms:modified xsi:type="dcterms:W3CDTF">2001-08-02T15:45:00Z</dcterms:modified>
  <cp:revision>4</cp:revision>
  <dc:subject/>
  <dc:title>ET&amp;S Market Services </dc:title>
</cp:coreProperties>
</file>