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June 11 through June 15,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June 18 through June 22</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260"/>
        <w:gridCol w:w="153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26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53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Omaha</w:t>
            </w:r>
          </w:p>
        </w:tc>
        <w:tc>
          <w:tcPr>
            <w:tcW w:w="153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Out of Office</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Vacation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Vacation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Out of office</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bl>
    <w:p>
      <w:pPr>
        <w:pStyle w:val="Normal"/>
        <w:rPr>
          <w:rFonts w:ascii="Arial" w:hAnsi="Arial" w:cs="Arial"/>
          <w:sz w:val="22"/>
        </w:rPr>
      </w:pPr>
      <w:r>
        <w:rPr>
          <w:rFonts w:cs="Arial" w:ascii="Arial" w:hAnsi="Arial"/>
          <w:sz w:val="22"/>
        </w:rPr>
      </w:r>
    </w:p>
    <w:p>
      <w:pPr>
        <w:pStyle w:val="Heading1"/>
        <w:ind w:hanging="0" w:start="0"/>
        <w:rPr>
          <w:b w:val="false"/>
          <w:sz w:val="22"/>
          <w:u w:val="single"/>
        </w:rPr>
      </w:pPr>
      <w:r>
        <w:rPr>
          <w:sz w:val="22"/>
          <w:u w:val="single"/>
        </w:rPr>
        <w:t>Imbalances</w:t>
      </w:r>
    </w:p>
    <w:p>
      <w:pPr>
        <w:pStyle w:val="Normal"/>
        <w:numPr>
          <w:ilvl w:val="0"/>
          <w:numId w:val="4"/>
        </w:numPr>
        <w:rPr>
          <w:rFonts w:ascii="Arial" w:hAnsi="Arial" w:cs="Arial"/>
          <w:sz w:val="22"/>
        </w:rPr>
      </w:pPr>
      <w:r>
        <w:rPr>
          <w:rFonts w:cs="Arial" w:ascii="Arial" w:hAnsi="Arial"/>
          <w:sz w:val="22"/>
        </w:rPr>
        <w:t xml:space="preserve">Tangie has been spending time reviewing the Mobil OBA allocation process to see, if there were ways the process could be enhanced to help expedite future audits by Exxon/Mobil.   </w:t>
      </w:r>
    </w:p>
    <w:p>
      <w:pPr>
        <w:pStyle w:val="Normal"/>
        <w:numPr>
          <w:ilvl w:val="0"/>
          <w:numId w:val="6"/>
        </w:numPr>
        <w:rPr>
          <w:rFonts w:ascii="Arial" w:hAnsi="Arial" w:cs="Arial"/>
          <w:sz w:val="22"/>
        </w:rPr>
      </w:pPr>
      <w:r>
        <w:rPr>
          <w:rFonts w:cs="Arial" w:ascii="Arial" w:hAnsi="Arial"/>
          <w:sz w:val="22"/>
        </w:rPr>
        <w:t>Tim arranged 225,000 mmbtu of payback gas into FGT during the week.</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8"/>
        </w:numPr>
        <w:rPr>
          <w:rFonts w:ascii="Arial" w:hAnsi="Arial" w:cs="Arial"/>
          <w:sz w:val="22"/>
        </w:rPr>
      </w:pPr>
      <w:r>
        <w:rPr>
          <w:rFonts w:cs="Arial" w:ascii="Arial" w:hAnsi="Arial"/>
          <w:sz w:val="22"/>
        </w:rPr>
        <w:t>Tangie spent the entire day Wednesday compiling Strangers Gas claimant information for Mary Darveaux.  Mary needed to know which shippers had claimed Strangers Gas during the time period of June 1998 through June 2001.</w:t>
      </w:r>
    </w:p>
    <w:p>
      <w:pPr>
        <w:pStyle w:val="Normal"/>
        <w:numPr>
          <w:ilvl w:val="0"/>
          <w:numId w:val="2"/>
        </w:numPr>
        <w:rPr>
          <w:rFonts w:ascii="Arial" w:hAnsi="Arial" w:cs="Arial"/>
          <w:sz w:val="22"/>
        </w:rPr>
      </w:pPr>
      <w:r>
        <w:rPr>
          <w:rFonts w:cs="Arial" w:ascii="Arial" w:hAnsi="Arial"/>
          <w:sz w:val="22"/>
        </w:rPr>
        <w:t>Team thanks to Tim Cooper for running the processes for the weekend and remaining on call in the building all weekend.  In addition, thanks to Lynda Laferla for flying to Omaha as the emergency back-up rep. and assisting from there.  And finally, thanks to Jack Howard for fighting his way through floodwaters, coming in early on Sunday and completing the weekend processes.  A number of problems arose from the weekend outages.  It is believed that we have finished the manual rescheduling and re-confirming of interconnects.</w:t>
      </w:r>
    </w:p>
    <w:p>
      <w:pPr>
        <w:pStyle w:val="Heading3"/>
        <w:numPr>
          <w:ilvl w:val="0"/>
          <w:numId w:val="11"/>
        </w:numPr>
        <w:spacing w:lineRule="atLeast" w:line="240"/>
        <w:rPr>
          <w:b w:val="false"/>
          <w:sz w:val="22"/>
          <w:u w:val="none"/>
        </w:rPr>
      </w:pPr>
      <w:r>
        <w:rPr>
          <w:b w:val="false"/>
          <w:sz w:val="22"/>
          <w:u w:val="none"/>
        </w:rPr>
        <w:t>All teams have been cleaning June 9</w:t>
      </w:r>
      <w:r>
        <w:rPr>
          <w:b w:val="false"/>
          <w:sz w:val="22"/>
          <w:u w:val="none"/>
          <w:vertAlign w:val="superscript"/>
        </w:rPr>
        <w:t>th</w:t>
      </w:r>
      <w:r>
        <w:rPr>
          <w:b w:val="false"/>
          <w:sz w:val="22"/>
          <w:u w:val="none"/>
        </w:rPr>
        <w:t xml:space="preserve"> and 10</w:t>
      </w:r>
      <w:r>
        <w:rPr>
          <w:b w:val="false"/>
          <w:sz w:val="22"/>
          <w:u w:val="none"/>
          <w:vertAlign w:val="superscript"/>
        </w:rPr>
        <w:t>th</w:t>
      </w:r>
      <w:r>
        <w:rPr>
          <w:b w:val="false"/>
          <w:sz w:val="22"/>
          <w:u w:val="none"/>
        </w:rPr>
        <w:t xml:space="preserve"> gas days caused by weekend flooding, Tropical storm Allison.</w:t>
      </w:r>
    </w:p>
    <w:p>
      <w:pPr>
        <w:pStyle w:val="Normal"/>
        <w:rPr>
          <w:b/>
          <w:sz w:val="22"/>
          <w:u w:val="none"/>
        </w:rPr>
      </w:pPr>
      <w:r>
        <w:rPr>
          <w:b/>
          <w:sz w:val="22"/>
          <w:u w:val="none"/>
        </w:rPr>
      </w:r>
    </w:p>
    <w:p>
      <w:pPr>
        <w:pStyle w:val="Heading3"/>
        <w:spacing w:lineRule="atLeast" w:line="240"/>
        <w:ind w:hanging="0" w:start="0"/>
        <w:rPr>
          <w:b w:val="false"/>
          <w:sz w:val="22"/>
        </w:rPr>
      </w:pPr>
      <w:r>
        <w:rPr>
          <w:sz w:val="22"/>
        </w:rPr>
        <w:t>Coordinator/Specialist Team</w:t>
      </w:r>
    </w:p>
    <w:p>
      <w:pPr>
        <w:pStyle w:val="Header"/>
        <w:tabs>
          <w:tab w:val="clear" w:pos="4320"/>
          <w:tab w:val="clear" w:pos="8640"/>
        </w:tabs>
        <w:rPr>
          <w:rFonts w:ascii="Arial" w:hAnsi="Arial" w:cs="Arial"/>
          <w:b/>
          <w:sz w:val="22"/>
        </w:rPr>
      </w:pPr>
      <w:r>
        <w:rPr>
          <w:rFonts w:cs="Arial" w:ascii="Arial" w:hAnsi="Arial"/>
          <w:b/>
          <w:sz w:val="22"/>
        </w:rPr>
        <w:t>John</w:t>
      </w:r>
    </w:p>
    <w:p>
      <w:pPr>
        <w:pStyle w:val="Normal"/>
        <w:numPr>
          <w:ilvl w:val="0"/>
          <w:numId w:val="10"/>
        </w:numPr>
        <w:rPr>
          <w:rFonts w:ascii="Arial" w:hAnsi="Arial" w:cs="Arial"/>
          <w:sz w:val="22"/>
        </w:rPr>
      </w:pPr>
      <w:r>
        <w:rPr>
          <w:rFonts w:cs="Arial" w:ascii="Arial" w:hAnsi="Arial"/>
          <w:sz w:val="22"/>
        </w:rPr>
        <w:t xml:space="preserve">I attended the NNG Small Customer meeting in Fairmont Minnesota and gave a presentation to the group. I discussed the NNG allocation priority, EPSQ and explained the TMS nomination timeline including Bumping. </w:t>
      </w:r>
    </w:p>
    <w:p>
      <w:pPr>
        <w:pStyle w:val="Normal"/>
        <w:numPr>
          <w:ilvl w:val="0"/>
          <w:numId w:val="10"/>
        </w:numPr>
        <w:rPr>
          <w:rFonts w:ascii="Arial" w:hAnsi="Arial" w:cs="Arial"/>
          <w:sz w:val="22"/>
        </w:rPr>
      </w:pPr>
      <w:r>
        <w:rPr>
          <w:rFonts w:cs="Arial" w:ascii="Arial" w:hAnsi="Arial"/>
          <w:sz w:val="22"/>
        </w:rPr>
        <w:t>While in Minnesota Shelley Corman and I met with Xcel Energy, Reliant Minnegasco and USES.  Xcel and Reliant had no issues to be resolved, at this time.  USES plans on being active with project MAX.</w:t>
      </w:r>
    </w:p>
    <w:p>
      <w:pPr>
        <w:pStyle w:val="Normal"/>
        <w:numPr>
          <w:ilvl w:val="0"/>
          <w:numId w:val="10"/>
        </w:numPr>
        <w:rPr>
          <w:rFonts w:ascii="Arial" w:hAnsi="Arial" w:cs="Arial"/>
          <w:sz w:val="22"/>
        </w:rPr>
      </w:pPr>
      <w:r>
        <w:rPr>
          <w:rFonts w:cs="Arial" w:ascii="Arial" w:hAnsi="Arial"/>
          <w:sz w:val="22"/>
        </w:rPr>
        <w:t>USES gave us some to-do’s:</w:t>
      </w:r>
    </w:p>
    <w:p>
      <w:pPr>
        <w:pStyle w:val="Normal"/>
        <w:numPr>
          <w:ilvl w:val="0"/>
          <w:numId w:val="10"/>
        </w:numPr>
        <w:rPr>
          <w:rFonts w:ascii="Arial" w:hAnsi="Arial" w:cs="Arial"/>
          <w:sz w:val="22"/>
        </w:rPr>
      </w:pPr>
      <w:r>
        <w:rPr>
          <w:rFonts w:eastAsia="Arial" w:cs="Arial" w:ascii="Arial" w:hAnsi="Arial"/>
          <w:sz w:val="22"/>
        </w:rPr>
        <w:t xml:space="preserve"> </w:t>
      </w:r>
      <w:r>
        <w:rPr>
          <w:rFonts w:cs="Arial" w:ascii="Arial" w:hAnsi="Arial"/>
          <w:sz w:val="22"/>
        </w:rPr>
        <w:t>John will get with Mike Wagoner or Dale Ratliff to see if USES can have access too a few SCADA points. Dale Ratliff worked with Bill Anderson and provided him access to all requested POI’s that had SCADA available.</w:t>
      </w:r>
    </w:p>
    <w:p>
      <w:pPr>
        <w:pStyle w:val="Normal"/>
        <w:numPr>
          <w:ilvl w:val="0"/>
          <w:numId w:val="10"/>
        </w:numPr>
        <w:rPr>
          <w:rFonts w:ascii="Arial" w:hAnsi="Arial" w:cs="Arial"/>
          <w:sz w:val="22"/>
        </w:rPr>
      </w:pPr>
      <w:r>
        <w:rPr>
          <w:rFonts w:eastAsia="Arial" w:cs="Arial" w:ascii="Arial" w:hAnsi="Arial"/>
          <w:sz w:val="22"/>
        </w:rPr>
        <w:t xml:space="preserve"> </w:t>
      </w:r>
      <w:r>
        <w:rPr>
          <w:rFonts w:cs="Arial" w:ascii="Arial" w:hAnsi="Arial"/>
          <w:sz w:val="22"/>
        </w:rPr>
        <w:t>USES is also interested in where ETS stands on XML vs. EDI, Shelley will respond to that issue.</w:t>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b/>
          <w:sz w:val="22"/>
        </w:rPr>
      </w:pPr>
      <w:r>
        <w:rPr>
          <w:rFonts w:cs="Arial" w:ascii="Arial" w:hAnsi="Arial"/>
          <w:b/>
          <w:sz w:val="22"/>
        </w:rPr>
        <w:t>Mike</w:t>
      </w:r>
    </w:p>
    <w:p>
      <w:pPr>
        <w:pStyle w:val="Normal"/>
        <w:numPr>
          <w:ilvl w:val="0"/>
          <w:numId w:val="12"/>
        </w:numPr>
        <w:spacing w:lineRule="atLeast" w:line="240"/>
        <w:rPr>
          <w:rFonts w:ascii="Arial" w:hAnsi="Arial" w:cs="Arial"/>
          <w:color w:val="000000"/>
          <w:sz w:val="22"/>
          <w:lang w:eastAsia="en-US"/>
        </w:rPr>
      </w:pPr>
      <w:r>
        <w:rPr>
          <w:rFonts w:cs="Arial" w:ascii="Arial" w:hAnsi="Arial"/>
          <w:color w:val="000000"/>
          <w:sz w:val="22"/>
          <w:lang w:eastAsia="en-US"/>
        </w:rPr>
        <w:t>An error was discovered on the USGT's PNR invoice for May resulting in $5000 of additional revenue. USGT is aware of the error and a revised invoice is being prepared.</w:t>
      </w:r>
    </w:p>
    <w:p>
      <w:pPr>
        <w:pStyle w:val="Normal"/>
        <w:numPr>
          <w:ilvl w:val="0"/>
          <w:numId w:val="3"/>
        </w:numPr>
        <w:spacing w:lineRule="atLeast" w:line="240"/>
        <w:rPr>
          <w:rFonts w:ascii="Arial" w:hAnsi="Arial" w:cs="Arial"/>
          <w:color w:val="000000"/>
          <w:sz w:val="22"/>
          <w:lang w:eastAsia="en-US"/>
        </w:rPr>
      </w:pPr>
      <w:r>
        <w:rPr>
          <w:rFonts w:cs="Arial" w:ascii="Arial" w:hAnsi="Arial"/>
          <w:color w:val="000000"/>
          <w:sz w:val="22"/>
          <w:lang w:eastAsia="en-US"/>
        </w:rPr>
        <w:t>Storage injection capacity was increased back to 300,000 mmbtu this week. The capacity had been reduced last weekend to compensate for electrical alerts announced by the Kansas utility serving the Cunningham storage facilities.</w:t>
      </w:r>
    </w:p>
    <w:p>
      <w:pPr>
        <w:pStyle w:val="Header"/>
        <w:numPr>
          <w:ilvl w:val="0"/>
          <w:numId w:val="5"/>
        </w:numPr>
        <w:tabs>
          <w:tab w:val="clear" w:pos="4320"/>
          <w:tab w:val="clear" w:pos="8640"/>
        </w:tabs>
        <w:rPr>
          <w:rFonts w:ascii="Arial" w:hAnsi="Arial" w:cs="Arial"/>
          <w:sz w:val="22"/>
        </w:rPr>
      </w:pPr>
      <w:r>
        <w:rPr>
          <w:rFonts w:cs="Arial" w:ascii="Arial" w:hAnsi="Arial"/>
          <w:color w:val="000000"/>
          <w:sz w:val="22"/>
          <w:lang w:eastAsia="en-US"/>
        </w:rPr>
        <w:t>NNG's system index price has dipped below the cash price this month, a sign that the pipe should start to see an increase in storage injections and shippers going short to the pipe.</w:t>
      </w:r>
    </w:p>
    <w:p>
      <w:pPr>
        <w:pStyle w:val="Header"/>
        <w:tabs>
          <w:tab w:val="clear" w:pos="4320"/>
          <w:tab w:val="clear" w:pos="8640"/>
        </w:tabs>
        <w:rPr>
          <w:rFonts w:ascii="Arial" w:hAnsi="Arial" w:cs="Arial"/>
          <w:sz w:val="22"/>
        </w:rPr>
      </w:pPr>
      <w:r>
        <w:rPr>
          <w:rFonts w:cs="Arial" w:ascii="Arial" w:hAnsi="Arial"/>
          <w:sz w:val="22"/>
        </w:rPr>
      </w:r>
    </w:p>
    <w:p>
      <w:pPr>
        <w:pStyle w:val="Header"/>
        <w:tabs>
          <w:tab w:val="clear" w:pos="4320"/>
          <w:tab w:val="clear" w:pos="8640"/>
        </w:tabs>
        <w:rPr>
          <w:rFonts w:ascii="Arial" w:hAnsi="Arial" w:cs="Arial"/>
          <w:b/>
          <w:sz w:val="22"/>
        </w:rPr>
      </w:pPr>
      <w:r>
        <w:rPr>
          <w:rFonts w:cs="Arial" w:ascii="Arial" w:hAnsi="Arial"/>
          <w:b/>
          <w:sz w:val="22"/>
        </w:rPr>
        <w:t>Terry</w:t>
      </w:r>
    </w:p>
    <w:p>
      <w:pPr>
        <w:pStyle w:val="Normal"/>
        <w:numPr>
          <w:ilvl w:val="0"/>
          <w:numId w:val="7"/>
        </w:numPr>
        <w:rPr>
          <w:rFonts w:ascii="Arial" w:hAnsi="Arial" w:cs="Arial"/>
          <w:sz w:val="22"/>
        </w:rPr>
      </w:pPr>
      <w:r>
        <w:rPr>
          <w:rFonts w:cs="Arial" w:ascii="Arial" w:hAnsi="Arial"/>
          <w:sz w:val="22"/>
        </w:rPr>
        <w:t>Gathered data to research scheduling issues from the KN Pony Express, to the Bushton Pool #71450 by Duke the shipper for the last 6 months. The data was requested by Vernon Mercaldo to review fuel-billing issues. It was discovered that Duke found a loophole in the scheduling system and this is being resolved as we speak.</w:t>
      </w:r>
    </w:p>
    <w:p>
      <w:pPr>
        <w:pStyle w:val="Normal"/>
        <w:spacing w:lineRule="atLeast" w:line="240"/>
        <w:rPr>
          <w:rFonts w:ascii="Arial" w:hAnsi="Arial" w:cs="Arial"/>
          <w:color w:val="000000"/>
          <w:sz w:val="22"/>
          <w:u w:val="single"/>
          <w:lang w:eastAsia="en-US"/>
        </w:rPr>
      </w:pPr>
      <w:r>
        <w:rPr>
          <w:rFonts w:cs="Arial" w:ascii="Arial" w:hAnsi="Arial"/>
          <w:color w:val="000000"/>
          <w:sz w:val="22"/>
          <w:u w:val="single"/>
          <w:lang w:eastAsia="en-US"/>
        </w:rPr>
      </w:r>
    </w:p>
    <w:p>
      <w:pPr>
        <w:pStyle w:val="Normal"/>
        <w:ind w:firstLine="45" w:end="0"/>
        <w:rPr>
          <w:rFonts w:ascii="Arial" w:hAnsi="Arial" w:cs="Arial"/>
          <w:color w:val="000000"/>
          <w:sz w:val="22"/>
          <w:u w:val="single"/>
          <w:lang w:eastAsia="en-US"/>
        </w:rPr>
      </w:pPr>
      <w:r>
        <w:rPr>
          <w:rFonts w:cs="Arial" w:ascii="Arial" w:hAnsi="Arial"/>
          <w:color w:val="000000"/>
          <w:sz w:val="22"/>
          <w:u w:val="single"/>
          <w:lang w:eastAsia="en-US"/>
        </w:rPr>
      </w:r>
    </w:p>
    <w:p>
      <w:pPr>
        <w:pStyle w:val="Normal"/>
        <w:rPr>
          <w:rFonts w:ascii="Arial" w:hAnsi="Arial" w:cs="Arial"/>
          <w:sz w:val="14"/>
        </w:rPr>
      </w:pPr>
      <w:r>
        <w:rPr>
          <w:rFonts w:cs="Arial" w:ascii="Arial" w:hAnsi="Arial"/>
          <w:sz w:val="14"/>
        </w:rPr>
        <w:t>MS Bullets 6.14.01</w:t>
      </w:r>
    </w:p>
    <w:p>
      <w:pPr>
        <w:pStyle w:val="Normal"/>
        <w:rPr>
          <w:rFonts w:ascii="Arial" w:hAnsi="Arial" w:cs="Arial"/>
          <w:b/>
          <w:sz w:val="14"/>
          <w:u w:val="single"/>
        </w:rPr>
      </w:pPr>
      <w:r>
        <w:rPr>
          <w:rFonts w:cs="Arial" w:ascii="Arial" w:hAnsi="Arial"/>
          <w:b/>
          <w:sz w:val="14"/>
          <w:u w:val="single"/>
        </w:rPr>
      </w:r>
    </w:p>
    <w:p>
      <w:pPr>
        <w:pStyle w:val="Normal"/>
        <w:rPr>
          <w:rFonts w:ascii="Arial" w:hAnsi="Arial" w:cs="Arial"/>
          <w:b/>
          <w:u w:val="single"/>
        </w:rPr>
      </w:pPr>
      <w:r>
        <w:rPr>
          <w:rFonts w:cs="Arial" w:ascii="Arial" w:hAnsi="Arial"/>
          <w:b/>
          <w:u w:val="single"/>
        </w:rPr>
      </w:r>
    </w:p>
    <w:p>
      <w:pPr>
        <w:pStyle w:val="Heading1"/>
        <w:ind w:hanging="0" w:start="0"/>
        <w:rPr>
          <w:rFonts w:ascii="Arial" w:hAnsi="Arial" w:cs="Arial"/>
        </w:rPr>
      </w:pPr>
      <w:r>
        <w:rPr>
          <w:rFonts w:cs="Arial"/>
        </w:rPr>
      </w:r>
    </w:p>
    <w:p>
      <w:pPr>
        <w:pStyle w:val="Normal"/>
        <w:rPr>
          <w:rFonts w:ascii="Arial" w:hAnsi="Arial" w:cs="Arial"/>
        </w:rPr>
      </w:pPr>
      <w:r>
        <w:rPr>
          <w:rFonts w:cs="Arial" w:ascii="Arial" w:hAnsi="Arial"/>
        </w:rPr>
      </w:r>
    </w:p>
    <w:p>
      <w:pPr>
        <w:pStyle w:val="Normal"/>
        <w:rPr>
          <w:rFonts w:ascii="Arial" w:hAnsi="Arial" w:eastAsia="Arial" w:cs="Arial"/>
        </w:rPr>
      </w:pPr>
      <w:r>
        <w:rPr>
          <w:rFonts w:eastAsia="Arial" w:cs="Arial" w:ascii="Arial" w:hAnsi="Arial"/>
        </w:rPr>
        <w:t xml:space="preserve"> </w:t>
      </w:r>
    </w:p>
    <w:p>
      <w:pPr>
        <w:pStyle w:val="Header"/>
        <w:tabs>
          <w:tab w:val="clear" w:pos="4320"/>
          <w:tab w:val="clear" w:pos="8640"/>
        </w:tabs>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r>
    </w:p>
    <w:p>
      <w:pPr>
        <w:pStyle w:val="Heading7"/>
        <w:ind w:hanging="0" w:start="0"/>
        <w:rPr/>
      </w:pPr>
      <w:r>
        <w:rPr/>
      </w:r>
    </w:p>
    <w:p>
      <w:pPr>
        <w:pStyle w:val="Normal"/>
        <w:rPr>
          <w:rFonts w:ascii="Arial" w:hAnsi="Arial" w:cs="Arial"/>
        </w:rPr>
      </w:pPr>
      <w:r>
        <w:rPr>
          <w:rFonts w:cs="Arial" w:ascii="Arial" w:hAnsi="Arial"/>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r>
    </w:p>
    <w:p>
      <w:pPr>
        <w:pStyle w:val="Heading1"/>
        <w:ind w:hanging="0" w:start="0"/>
        <w:rPr>
          <w:rFonts w:ascii="Arial" w:hAnsi="Arial" w:cs="Arial"/>
          <w:b w:val="false"/>
          <w:sz w:val="22"/>
        </w:rPr>
      </w:pPr>
      <w:r>
        <w:rPr>
          <w:rFonts w:cs="Arial"/>
          <w:b w:val="false"/>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sectPr>
      <w:type w:val="nextPage"/>
      <w:pgSz w:w="12240" w:h="15840"/>
      <w:pgMar w:left="1440" w:right="1440" w:gutter="0" w:header="0" w:top="1440" w:footer="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Arial" w:hAnsi="Helv;Arial" w:cs="Helv;Arial"/>
      <w:b/>
      <w:color w:val="000000"/>
      <w:u w:val="single"/>
      <w:lang w:eastAsia="en-US"/>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lang w:eastAsia="en-US"/>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lang w:eastAsia="en-US"/>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color w:val="auto"/>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sz w:val="20"/>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Wingdings" w:hAnsi="Wingdings" w:cs="Wingdings"/>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color w:val="auto"/>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Wingdings" w:hAnsi="Wingdings" w:cs="Wingdings"/>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Wingdings" w:hAnsi="Wingdings" w:cs="Wingdings"/>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Wingdings" w:hAnsi="Wingdings" w:cs="Wingdings"/>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color w:val="auto"/>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Wingdings" w:hAnsi="Wingdings" w:cs="Wingdings"/>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Wingdings" w:hAnsi="Wingdings" w:cs="Wingdings"/>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color w:val="auto"/>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Wingdings" w:hAnsi="Wingdings" w:cs="Wingdings"/>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Wingdings" w:hAnsi="Wingdings" w:cs="Wingdings"/>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Arial" w:hAnsi="Helv;Arial" w:cs="Helv;Arial"/>
      <w:color w:val="000000"/>
    </w:rPr>
  </w:style>
  <w:style w:type="paragraph" w:styleId="WW-BodyText2">
    <w:name w:val="WW-Body Text 2"/>
    <w:basedOn w:val="Normal"/>
    <w:qFormat/>
    <w:pPr>
      <w:spacing w:lineRule="atLeast" w:line="240"/>
      <w:ind w:hanging="0" w:start="360" w:end="0"/>
      <w:jc w:val="both"/>
    </w:pPr>
    <w:rPr>
      <w:rFonts w:ascii="Helv;Arial" w:hAnsi="Helv;Arial" w:cs="Helv;Arial"/>
      <w:color w:val="800080"/>
    </w:rPr>
  </w:style>
  <w:style w:type="paragraph" w:styleId="BodyText3">
    <w:name w:val="Body Text 3"/>
    <w:basedOn w:val="Normal"/>
    <w:qFormat/>
    <w:pPr>
      <w:spacing w:lineRule="atLeast" w:line="240"/>
    </w:pPr>
    <w:rPr>
      <w:rFonts w:ascii="Helv;Arial" w:hAnsi="Helv;Arial" w:cs="Helv;Arial"/>
      <w:color w:val="000000"/>
      <w:lang w:eastAsia="en-US"/>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9"/>
      </w:numPr>
    </w:pPr>
    <w:rPr>
      <w:rFonts w:ascii="Arial" w:hAnsi="Arial" w:cs="Arial"/>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2001-06-14T17:16:00Z</dcterms:created>
  <dc:creator>ET&amp;S</dc:creator>
  <dc:description/>
  <dc:language>en-CA</dc:language>
  <cp:lastModifiedBy>ET&amp;S</cp:lastModifiedBy>
  <cp:lastPrinted>2001-02-22T11:54:00Z</cp:lastPrinted>
  <dcterms:modified xsi:type="dcterms:W3CDTF">2001-06-14T17:55:00Z</dcterms:modified>
  <cp:revision>6</cp:revision>
  <dc:subject/>
  <dc:title>ET&amp;S Market Services </dc:title>
</cp:coreProperties>
</file>