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sz w:val="20"/>
        </w:rPr>
      </w:pPr>
      <w:r>
        <w:rPr>
          <w:sz w:val="20"/>
        </w:rPr>
        <w:t>(Multicurrency - Cross Border)</w:t>
      </w:r>
    </w:p>
    <w:p>
      <w:pPr>
        <w:pStyle w:val="Normal"/>
        <w:spacing w:lineRule="auto" w:line="360"/>
        <w:jc w:val="center"/>
        <w:rPr>
          <w:sz w:val="28"/>
        </w:rPr>
      </w:pPr>
      <w:r>
        <w:rPr>
          <w:b/>
          <w:sz w:val="28"/>
        </w:rPr>
        <w:t>ISDA</w:t>
      </w:r>
    </w:p>
    <w:p>
      <w:pPr>
        <w:pStyle w:val="Normal"/>
        <w:spacing w:lineRule="auto" w:line="360"/>
        <w:jc w:val="center"/>
        <w:rPr>
          <w:sz w:val="20"/>
        </w:rPr>
      </w:pPr>
      <w:r>
        <w:rPr>
          <w:sz w:val="20"/>
        </w:rPr>
        <w:t xml:space="preserve">International Swap Dealers Association, Inc.  </w:t>
      </w:r>
    </w:p>
    <w:p>
      <w:pPr>
        <w:pStyle w:val="Normal"/>
        <w:spacing w:lineRule="auto" w:line="360"/>
        <w:jc w:val="center"/>
        <w:rPr>
          <w:sz w:val="20"/>
        </w:rPr>
      </w:pPr>
      <w:r>
        <w:rPr>
          <w:sz w:val="20"/>
        </w:rPr>
        <w:t>SCHEDULE</w:t>
      </w:r>
    </w:p>
    <w:p>
      <w:pPr>
        <w:pStyle w:val="Normal"/>
        <w:spacing w:lineRule="auto" w:line="360"/>
        <w:jc w:val="center"/>
        <w:rPr>
          <w:sz w:val="20"/>
        </w:rPr>
      </w:pPr>
      <w:r>
        <w:rPr>
          <w:sz w:val="20"/>
        </w:rPr>
        <w:t>to the</w:t>
      </w:r>
    </w:p>
    <w:p>
      <w:pPr>
        <w:pStyle w:val="Normal"/>
        <w:spacing w:lineRule="auto" w:line="360"/>
        <w:jc w:val="center"/>
        <w:rPr>
          <w:sz w:val="20"/>
        </w:rPr>
      </w:pPr>
      <w:r>
        <w:rPr>
          <w:sz w:val="20"/>
        </w:rPr>
        <w:t>Master Agreement</w:t>
      </w:r>
    </w:p>
    <w:p>
      <w:pPr>
        <w:pStyle w:val="Normal"/>
        <w:spacing w:lineRule="auto" w:line="360"/>
        <w:jc w:val="center"/>
        <w:rPr>
          <w:sz w:val="20"/>
        </w:rPr>
      </w:pPr>
      <w:r>
        <w:rPr>
          <w:sz w:val="20"/>
        </w:rPr>
        <w:t>dated as of............................................</w:t>
      </w:r>
    </w:p>
    <w:p>
      <w:pPr>
        <w:pStyle w:val="Normal"/>
        <w:spacing w:lineRule="auto" w:line="360"/>
        <w:jc w:val="center"/>
        <w:rPr>
          <w:sz w:val="20"/>
        </w:rPr>
      </w:pPr>
      <w:r>
        <w:rPr>
          <w:sz w:val="20"/>
        </w:rPr>
      </w:r>
    </w:p>
    <w:p>
      <w:pPr>
        <w:pStyle w:val="Normal"/>
        <w:spacing w:lineRule="auto" w:line="360"/>
        <w:rPr>
          <w:sz w:val="20"/>
        </w:rPr>
      </w:pPr>
      <w:r>
        <w:rPr>
          <w:sz w:val="20"/>
        </w:rPr>
        <w:t>between New York State Electric &amp; Gas Corporation and  ............................................................................</w:t>
      </w:r>
    </w:p>
    <w:p>
      <w:pPr>
        <w:pStyle w:val="Normal"/>
        <w:spacing w:lineRule="auto" w:line="360"/>
        <w:jc w:val="both"/>
        <w:rPr>
          <w:sz w:val="20"/>
        </w:rPr>
      </w:pPr>
      <w:r>
        <w:rPr>
          <w:sz w:val="20"/>
        </w:rPr>
        <w:tab/>
        <w:tab/>
        <w:tab/>
        <w:t>(“Party A”)</w:t>
        <w:tab/>
        <w:tab/>
        <w:tab/>
        <w:tab/>
        <w:tab/>
        <w:t>(“Party B”)</w:t>
      </w:r>
    </w:p>
    <w:p>
      <w:pPr>
        <w:pStyle w:val="Normal"/>
        <w:spacing w:lineRule="auto" w:line="360"/>
        <w:jc w:val="both"/>
        <w:rPr>
          <w:sz w:val="20"/>
        </w:rPr>
      </w:pPr>
      <w:r>
        <w:rPr>
          <w:sz w:val="20"/>
        </w:rPr>
      </w:r>
    </w:p>
    <w:p>
      <w:pPr>
        <w:pStyle w:val="Normal"/>
        <w:spacing w:lineRule="auto" w:line="360"/>
        <w:jc w:val="both"/>
        <w:rPr/>
      </w:pPr>
      <w:r>
        <w:rPr>
          <w:sz w:val="20"/>
        </w:rPr>
        <w:t xml:space="preserve">Part I.  </w:t>
      </w:r>
      <w:r>
        <w:rPr>
          <w:b/>
          <w:sz w:val="20"/>
        </w:rPr>
        <w:t>Termination Provisions</w:t>
      </w:r>
      <w:r>
        <w:rPr>
          <w:sz w:val="20"/>
        </w:rPr>
        <w:t>.</w:t>
      </w:r>
    </w:p>
    <w:p>
      <w:pPr>
        <w:pStyle w:val="Normal"/>
        <w:numPr>
          <w:ilvl w:val="0"/>
          <w:numId w:val="18"/>
        </w:numPr>
        <w:spacing w:lineRule="auto" w:line="360"/>
        <w:rPr>
          <w:sz w:val="20"/>
        </w:rPr>
      </w:pPr>
      <w:r>
        <w:rPr>
          <w:b/>
          <w:i/>
          <w:sz w:val="20"/>
        </w:rPr>
        <w:t>“</w:t>
      </w:r>
      <w:r>
        <w:rPr>
          <w:b/>
          <w:i/>
          <w:sz w:val="20"/>
        </w:rPr>
        <w:t>Specified Entity”</w:t>
      </w:r>
      <w:r>
        <w:rPr>
          <w:sz w:val="20"/>
        </w:rPr>
        <w:t xml:space="preserve"> means in relation to Party A for the purpose of: </w:t>
      </w:r>
    </w:p>
    <w:p>
      <w:pPr>
        <w:pStyle w:val="Normal"/>
        <w:spacing w:lineRule="auto" w:line="360"/>
        <w:ind w:firstLine="360" w:end="-720"/>
        <w:rPr>
          <w:sz w:val="20"/>
        </w:rPr>
      </w:pPr>
      <w:r>
        <w:rPr>
          <w:sz w:val="20"/>
        </w:rPr>
        <w:t>Section 5(a)(v)</w:t>
        <w:tab/>
        <w:t xml:space="preserve">Not Applicable.......................................................................................................... </w:t>
      </w:r>
    </w:p>
    <w:p>
      <w:pPr>
        <w:pStyle w:val="Normal"/>
        <w:spacing w:lineRule="auto" w:line="360"/>
        <w:ind w:firstLine="360" w:end="-720"/>
        <w:rPr>
          <w:sz w:val="20"/>
        </w:rPr>
      </w:pPr>
      <w:r>
        <w:rPr>
          <w:sz w:val="20"/>
        </w:rPr>
        <w:t>Section 5(a)(vi)</w:t>
        <w:tab/>
        <w:t>N/A...........................................................................................................................</w:t>
      </w:r>
    </w:p>
    <w:p>
      <w:pPr>
        <w:pStyle w:val="Normal"/>
        <w:spacing w:lineRule="auto" w:line="360"/>
        <w:ind w:firstLine="360" w:end="-720"/>
        <w:rPr>
          <w:sz w:val="20"/>
        </w:rPr>
      </w:pPr>
      <w:r>
        <w:rPr>
          <w:sz w:val="20"/>
        </w:rPr>
        <w:t>Section 5(a)(vii)</w:t>
        <w:tab/>
        <w:t>N/A...........................................................................................................................</w:t>
      </w:r>
    </w:p>
    <w:p>
      <w:pPr>
        <w:pStyle w:val="Normal"/>
        <w:spacing w:lineRule="auto" w:line="360"/>
        <w:ind w:firstLine="360" w:end="-720"/>
        <w:rPr>
          <w:sz w:val="20"/>
        </w:rPr>
      </w:pPr>
      <w:r>
        <w:rPr>
          <w:sz w:val="20"/>
        </w:rPr>
        <w:t>Section 5 (b)(iv)</w:t>
        <w:tab/>
        <w:t>N/A...........................................................................................................................</w:t>
      </w:r>
    </w:p>
    <w:p>
      <w:pPr>
        <w:pStyle w:val="Normal"/>
        <w:spacing w:lineRule="auto" w:line="360"/>
        <w:ind w:firstLine="720" w:start="1440" w:end="0"/>
        <w:jc w:val="both"/>
        <w:rPr>
          <w:sz w:val="20"/>
        </w:rPr>
      </w:pPr>
      <w:r>
        <w:rPr>
          <w:sz w:val="20"/>
        </w:rPr>
        <w:t>and in relation to Party B for the purpose of:</w:t>
      </w:r>
    </w:p>
    <w:p>
      <w:pPr>
        <w:pStyle w:val="Normal"/>
        <w:spacing w:lineRule="auto" w:line="360"/>
        <w:ind w:firstLine="360" w:end="-720"/>
        <w:jc w:val="both"/>
        <w:rPr>
          <w:sz w:val="20"/>
        </w:rPr>
      </w:pPr>
      <w:r>
        <w:rPr>
          <w:sz w:val="20"/>
        </w:rPr>
        <w:t>Section 5(a)(v)</w:t>
        <w:tab/>
        <w:t>..................................................................................................................................</w:t>
      </w:r>
    </w:p>
    <w:p>
      <w:pPr>
        <w:pStyle w:val="Normal"/>
        <w:spacing w:lineRule="auto" w:line="360"/>
        <w:ind w:firstLine="360" w:end="-720"/>
        <w:jc w:val="both"/>
        <w:rPr>
          <w:sz w:val="20"/>
        </w:rPr>
      </w:pPr>
      <w:r>
        <w:rPr>
          <w:sz w:val="20"/>
        </w:rPr>
        <w:t>Section 5(a)(vi)</w:t>
        <w:tab/>
        <w:t xml:space="preserve"> .................................................................................................................................</w:t>
      </w:r>
    </w:p>
    <w:p>
      <w:pPr>
        <w:pStyle w:val="Normal"/>
        <w:spacing w:lineRule="auto" w:line="360"/>
        <w:ind w:firstLine="360" w:end="-720"/>
        <w:jc w:val="both"/>
        <w:rPr>
          <w:sz w:val="20"/>
        </w:rPr>
      </w:pPr>
      <w:r>
        <w:rPr>
          <w:sz w:val="20"/>
        </w:rPr>
        <w:t>Section 5(a)(vii)</w:t>
        <w:tab/>
        <w:t>..................................................................................................................................</w:t>
      </w:r>
    </w:p>
    <w:p>
      <w:pPr>
        <w:pStyle w:val="Normal"/>
        <w:spacing w:lineRule="auto" w:line="360"/>
        <w:ind w:firstLine="360" w:end="-720"/>
        <w:jc w:val="both"/>
        <w:rPr>
          <w:sz w:val="20"/>
        </w:rPr>
      </w:pPr>
      <w:r>
        <w:rPr>
          <w:sz w:val="20"/>
        </w:rPr>
        <w:t>Section 5(b)(iv)</w:t>
        <w:tab/>
        <w:t>..................................................................................................................................</w:t>
      </w:r>
    </w:p>
    <w:p>
      <w:pPr>
        <w:pStyle w:val="Normal"/>
        <w:spacing w:lineRule="auto" w:line="360"/>
        <w:jc w:val="both"/>
        <w:rPr>
          <w:sz w:val="20"/>
        </w:rPr>
      </w:pPr>
      <w:r>
        <w:rPr>
          <w:sz w:val="20"/>
        </w:rPr>
      </w:r>
    </w:p>
    <w:p>
      <w:pPr>
        <w:pStyle w:val="Normal"/>
        <w:spacing w:lineRule="auto" w:line="360"/>
        <w:ind w:end="-720"/>
        <w:rPr/>
      </w:pPr>
      <w:r>
        <w:rPr>
          <w:sz w:val="20"/>
        </w:rPr>
        <w:t>(b)</w:t>
      </w:r>
      <w:r>
        <w:rPr>
          <w:b/>
          <w:sz w:val="20"/>
        </w:rPr>
        <w:t xml:space="preserve">  </w:t>
      </w:r>
      <w:r>
        <w:rPr>
          <w:b/>
          <w:i/>
          <w:sz w:val="20"/>
        </w:rPr>
        <w:t>“Specified Transaction”</w:t>
      </w:r>
      <w:r>
        <w:rPr>
          <w:b/>
          <w:sz w:val="20"/>
        </w:rPr>
        <w:t xml:space="preserve"> </w:t>
      </w:r>
      <w:r>
        <w:rPr>
          <w:sz w:val="20"/>
        </w:rPr>
        <w:t xml:space="preserve">will have the meaning specified in Section 14 of this Agreement. </w:t>
      </w:r>
    </w:p>
    <w:p>
      <w:pPr>
        <w:pStyle w:val="Normal"/>
        <w:spacing w:lineRule="auto" w:line="360"/>
        <w:ind w:start="360" w:end="0"/>
        <w:jc w:val="both"/>
        <w:rPr>
          <w:sz w:val="20"/>
        </w:rPr>
      </w:pPr>
      <w:r>
        <w:rPr>
          <w:sz w:val="20"/>
        </w:rPr>
      </w:r>
    </w:p>
    <w:p>
      <w:pPr>
        <w:pStyle w:val="Normal"/>
        <w:numPr>
          <w:ilvl w:val="0"/>
          <w:numId w:val="12"/>
        </w:numPr>
        <w:spacing w:lineRule="auto" w:line="480"/>
        <w:jc w:val="both"/>
        <w:rPr>
          <w:sz w:val="20"/>
        </w:rPr>
      </w:pPr>
      <w:r>
        <w:rPr>
          <w:sz w:val="20"/>
        </w:rPr>
        <w:t xml:space="preserve">The </w:t>
      </w:r>
      <w:r>
        <w:rPr>
          <w:b/>
          <w:i/>
          <w:sz w:val="20"/>
        </w:rPr>
        <w:t>“Cross Default”</w:t>
      </w:r>
      <w:r>
        <w:rPr>
          <w:sz w:val="20"/>
        </w:rPr>
        <w:t xml:space="preserve"> provisions of Section 5(a)(vi) will apply to Party A and Party B and is amended </w:t>
      </w:r>
    </w:p>
    <w:p>
      <w:pPr>
        <w:pStyle w:val="Normal"/>
        <w:spacing w:lineRule="auto" w:line="480"/>
        <w:jc w:val="both"/>
        <w:rPr/>
      </w:pPr>
      <w:r>
        <w:rPr>
          <w:sz w:val="20"/>
        </w:rPr>
        <w:t>by deleting in the 7</w:t>
      </w:r>
      <w:r>
        <w:rPr>
          <w:sz w:val="20"/>
          <w:vertAlign w:val="superscript"/>
        </w:rPr>
        <w:t>th</w:t>
      </w:r>
      <w:r>
        <w:rPr>
          <w:sz w:val="20"/>
        </w:rPr>
        <w:t xml:space="preserve"> line thereof, the words “or becoming capable at such time of being declared.”</w:t>
      </w:r>
    </w:p>
    <w:p>
      <w:pPr>
        <w:pStyle w:val="BodyText3"/>
        <w:spacing w:lineRule="auto" w:line="360"/>
        <w:ind w:firstLine="360" w:end="0"/>
        <w:rPr/>
      </w:pPr>
      <w:r>
        <w:rPr/>
        <w:t xml:space="preserve">If such provisions apply: </w:t>
      </w:r>
    </w:p>
    <w:p>
      <w:pPr>
        <w:pStyle w:val="Normal"/>
        <w:spacing w:lineRule="auto" w:line="360"/>
        <w:ind w:firstLine="360" w:end="-720"/>
        <w:jc w:val="both"/>
        <w:rPr/>
      </w:pPr>
      <w:r>
        <w:rPr>
          <w:b/>
          <w:i/>
          <w:sz w:val="20"/>
        </w:rPr>
        <w:t>“</w:t>
      </w:r>
      <w:r>
        <w:rPr>
          <w:b/>
          <w:i/>
          <w:sz w:val="20"/>
        </w:rPr>
        <w:t>Specified Indebtedness”</w:t>
      </w:r>
      <w:r>
        <w:rPr>
          <w:sz w:val="20"/>
        </w:rPr>
        <w:t xml:space="preserve"> will have the meaning specified in Section 14 and is amended by adding the words, “or energy contractual obligations.”</w:t>
      </w:r>
    </w:p>
    <w:p>
      <w:pPr>
        <w:pStyle w:val="Normal"/>
        <w:spacing w:lineRule="auto" w:line="360"/>
        <w:ind w:firstLine="30" w:start="360" w:end="-720"/>
        <w:jc w:val="both"/>
        <w:rPr/>
      </w:pPr>
      <w:r>
        <w:rPr>
          <w:b/>
          <w:i/>
          <w:sz w:val="20"/>
        </w:rPr>
        <w:t>“</w:t>
      </w:r>
      <w:r>
        <w:rPr>
          <w:b/>
          <w:i/>
          <w:sz w:val="20"/>
        </w:rPr>
        <w:t>Threshold Amount”</w:t>
      </w:r>
      <w:r>
        <w:rPr>
          <w:sz w:val="20"/>
        </w:rPr>
        <w:t xml:space="preserve"> means for Party A $3,000,000 U.S. dollars and for Party B $________________,</w:t>
      </w:r>
    </w:p>
    <w:p>
      <w:pPr>
        <w:pStyle w:val="Normal"/>
        <w:spacing w:lineRule="auto" w:line="360"/>
        <w:ind w:firstLine="30" w:start="360" w:end="-720"/>
        <w:jc w:val="both"/>
        <w:rPr>
          <w:sz w:val="20"/>
        </w:rPr>
      </w:pPr>
      <w:r>
        <w:rPr>
          <w:rFonts w:eastAsia="Arial"/>
          <w:sz w:val="20"/>
        </w:rPr>
        <w:t xml:space="preserve"> </w:t>
      </w:r>
      <w:r>
        <w:rPr>
          <w:sz w:val="20"/>
        </w:rPr>
        <w:t xml:space="preserve">U. S. dollars. </w:t>
      </w:r>
    </w:p>
    <w:p>
      <w:pPr>
        <w:pStyle w:val="Normal"/>
        <w:tabs>
          <w:tab w:val="clear" w:pos="720"/>
          <w:tab w:val="left" w:pos="8910" w:leader="none"/>
        </w:tabs>
        <w:ind w:end="-720"/>
        <w:jc w:val="both"/>
        <w:rPr>
          <w:sz w:val="20"/>
        </w:rPr>
      </w:pPr>
      <w:r>
        <w:rPr>
          <w:sz w:val="20"/>
        </w:rPr>
      </w:r>
    </w:p>
    <w:p>
      <w:pPr>
        <w:pStyle w:val="Normal"/>
        <w:numPr>
          <w:ilvl w:val="0"/>
          <w:numId w:val="19"/>
        </w:numPr>
        <w:spacing w:lineRule="auto" w:line="480"/>
        <w:ind w:firstLine="360" w:start="360" w:end="0"/>
        <w:jc w:val="both"/>
        <w:rPr>
          <w:sz w:val="20"/>
        </w:rPr>
      </w:pPr>
      <w:r>
        <w:rPr>
          <w:sz w:val="20"/>
        </w:rPr>
        <w:t xml:space="preserve">The </w:t>
      </w:r>
      <w:r>
        <w:rPr>
          <w:b/>
          <w:i/>
          <w:sz w:val="20"/>
        </w:rPr>
        <w:t>“Credit Event Upon Merger”</w:t>
      </w:r>
      <w:r>
        <w:rPr>
          <w:sz w:val="20"/>
        </w:rPr>
        <w:t xml:space="preserve"> provisions of Section 5(b)(iv) will apply to Party A and Party B.</w:t>
      </w:r>
    </w:p>
    <w:p>
      <w:pPr>
        <w:pStyle w:val="BodyText"/>
        <w:spacing w:lineRule="auto" w:line="480"/>
        <w:ind w:end="0"/>
        <w:jc w:val="both"/>
        <w:rPr/>
      </w:pPr>
      <w:r>
        <w:rPr/>
        <w:t>Section 5(b)(iv) is deleted in its entirety and replaced with the following (italicized text reflects modifications from the ISDA Master Agreement):</w:t>
      </w:r>
    </w:p>
    <w:p>
      <w:pPr>
        <w:pStyle w:val="Normal"/>
        <w:spacing w:lineRule="auto" w:line="480"/>
        <w:jc w:val="both"/>
        <w:rPr/>
      </w:pPr>
      <w:r>
        <w:rPr>
          <w:b/>
          <w:sz w:val="20"/>
        </w:rPr>
        <w:t>Credit Event Upon Merger.</w:t>
      </w:r>
      <w:r>
        <w:rPr>
          <w:sz w:val="20"/>
        </w:rPr>
        <w:t xml:space="preserve">  If “Credit Event Upon Merger” is specified in the Schedule as applying to the party, such party (“X”), any Credit Support Provider of X, or any applicable Specified Entity of X: </w:t>
      </w:r>
      <w:r>
        <w:rPr>
          <w:b/>
          <w:i/>
          <w:sz w:val="20"/>
        </w:rPr>
        <w:t>(1)(A)</w:t>
      </w:r>
      <w:r>
        <w:rPr>
          <w:b/>
          <w:sz w:val="20"/>
        </w:rPr>
        <w:t xml:space="preserve"> </w:t>
      </w:r>
      <w:r>
        <w:rPr>
          <w:sz w:val="20"/>
        </w:rPr>
        <w:t xml:space="preserve">consolidates or amalgamates with, or merges with or into, or transfers all or substantially all its assets to, </w:t>
      </w:r>
      <w:r>
        <w:rPr>
          <w:b/>
          <w:i/>
          <w:sz w:val="20"/>
        </w:rPr>
        <w:t>or reorganizes, reincorporates, or reconstitutes into or</w:t>
      </w:r>
      <w:r>
        <w:rPr>
          <w:b/>
          <w:sz w:val="20"/>
        </w:rPr>
        <w:t xml:space="preserve"> as another entity or (</w:t>
      </w:r>
      <w:r>
        <w:rPr>
          <w:b/>
          <w:i/>
          <w:sz w:val="20"/>
        </w:rPr>
        <w:t>B) enters into any agreement providing for any of the actions described in (A) and (2) such action described in (1)(A) or (1)(B)</w:t>
      </w:r>
      <w:r>
        <w:rPr>
          <w:sz w:val="20"/>
        </w:rPr>
        <w:t xml:space="preserve"> does not constitute an event described in Section 5(a)(viii) but the creditworthiness of the resulting, surviving or transferee entity is materially weaker </w:t>
      </w:r>
      <w:r>
        <w:rPr>
          <w:b/>
          <w:i/>
          <w:sz w:val="20"/>
        </w:rPr>
        <w:t>as determined by</w:t>
      </w:r>
      <w:r>
        <w:rPr>
          <w:b/>
          <w:sz w:val="20"/>
        </w:rPr>
        <w:t xml:space="preserve"> </w:t>
      </w:r>
      <w:r>
        <w:rPr>
          <w:b/>
          <w:i/>
          <w:sz w:val="20"/>
        </w:rPr>
        <w:t>commercially reasonable judgment under the current market conditions</w:t>
      </w:r>
      <w:r>
        <w:rPr>
          <w:sz w:val="20"/>
        </w:rPr>
        <w:t xml:space="preserve"> than that of X, such Credit Support Provider, or Specified Entity, as the case may be, immediately prior to such action (and, in such event, X or its successor or transferee, as appropriate, will be the Affected Party); so long as in connection with or after such action or Event X or its successor or transferee provides (or cause to be provided) to the other party (“Y”) with two (2) Local Business Days or Y’s written demand thereafter Eligible Credit Support in an amount satisfactory to Y in its sole discretion.</w:t>
      </w:r>
    </w:p>
    <w:p>
      <w:pPr>
        <w:pStyle w:val="Normal"/>
        <w:ind w:start="-720" w:end="-720"/>
        <w:jc w:val="both"/>
        <w:rPr>
          <w:sz w:val="20"/>
        </w:rPr>
      </w:pPr>
      <w:r>
        <w:rPr>
          <w:sz w:val="20"/>
        </w:rPr>
      </w:r>
    </w:p>
    <w:p>
      <w:pPr>
        <w:pStyle w:val="Normal"/>
        <w:numPr>
          <w:ilvl w:val="0"/>
          <w:numId w:val="2"/>
        </w:numPr>
        <w:ind w:firstLine="360" w:start="360" w:end="-720"/>
        <w:jc w:val="both"/>
        <w:rPr>
          <w:sz w:val="20"/>
        </w:rPr>
      </w:pPr>
      <w:r>
        <w:rPr>
          <w:sz w:val="20"/>
        </w:rPr>
        <w:t xml:space="preserve">The </w:t>
      </w:r>
      <w:r>
        <w:rPr>
          <w:b/>
          <w:i/>
          <w:sz w:val="20"/>
        </w:rPr>
        <w:t>“Automatic Early Termination”</w:t>
      </w:r>
      <w:r>
        <w:rPr>
          <w:sz w:val="20"/>
        </w:rPr>
        <w:t xml:space="preserve"> provision of Section 6(a) will not apply to Party A and Party B.</w:t>
      </w:r>
    </w:p>
    <w:p>
      <w:pPr>
        <w:pStyle w:val="Normal"/>
        <w:ind w:start="-720" w:end="-720"/>
        <w:jc w:val="both"/>
        <w:rPr>
          <w:sz w:val="20"/>
        </w:rPr>
      </w:pPr>
      <w:r>
        <w:rPr>
          <w:sz w:val="20"/>
        </w:rPr>
      </w:r>
    </w:p>
    <w:p>
      <w:pPr>
        <w:pStyle w:val="Normal"/>
        <w:numPr>
          <w:ilvl w:val="0"/>
          <w:numId w:val="15"/>
        </w:numPr>
        <w:spacing w:lineRule="auto" w:line="360"/>
        <w:ind w:firstLine="360" w:start="360" w:end="-720"/>
        <w:jc w:val="both"/>
        <w:rPr>
          <w:sz w:val="20"/>
        </w:rPr>
      </w:pPr>
      <w:r>
        <w:rPr>
          <w:b/>
          <w:i/>
          <w:sz w:val="20"/>
        </w:rPr>
        <w:t>Payments on Early Termination</w:t>
      </w:r>
      <w:r>
        <w:rPr>
          <w:sz w:val="20"/>
        </w:rPr>
        <w:t>. For the purpose of Section 6(e) of this Agreement:</w:t>
      </w:r>
    </w:p>
    <w:p>
      <w:pPr>
        <w:pStyle w:val="Normal"/>
        <w:numPr>
          <w:ilvl w:val="0"/>
          <w:numId w:val="4"/>
        </w:numPr>
        <w:spacing w:lineRule="auto" w:line="360"/>
        <w:ind w:firstLine="360" w:start="0" w:end="-720"/>
        <w:jc w:val="both"/>
        <w:rPr>
          <w:sz w:val="20"/>
        </w:rPr>
      </w:pPr>
      <w:r>
        <w:rPr>
          <w:sz w:val="20"/>
        </w:rPr>
        <w:t>Market Quotation will apply.</w:t>
        <w:tab/>
      </w:r>
    </w:p>
    <w:p>
      <w:pPr>
        <w:pStyle w:val="Normal"/>
        <w:numPr>
          <w:ilvl w:val="0"/>
          <w:numId w:val="4"/>
        </w:numPr>
        <w:spacing w:lineRule="auto" w:line="360"/>
        <w:ind w:firstLine="360" w:start="0" w:end="-720"/>
        <w:jc w:val="both"/>
        <w:rPr>
          <w:b/>
          <w:sz w:val="20"/>
        </w:rPr>
      </w:pPr>
      <w:r>
        <w:rPr>
          <w:sz w:val="20"/>
        </w:rPr>
        <w:t>The Second Method will apply.</w:t>
      </w:r>
    </w:p>
    <w:p>
      <w:pPr>
        <w:pStyle w:val="Normal"/>
        <w:numPr>
          <w:ilvl w:val="0"/>
          <w:numId w:val="8"/>
        </w:numPr>
        <w:ind w:firstLine="360" w:start="360" w:end="0"/>
        <w:jc w:val="both"/>
        <w:rPr>
          <w:sz w:val="20"/>
        </w:rPr>
      </w:pPr>
      <w:r>
        <w:rPr>
          <w:b/>
          <w:i/>
          <w:sz w:val="20"/>
        </w:rPr>
        <w:t>“</w:t>
      </w:r>
      <w:r>
        <w:rPr>
          <w:b/>
          <w:i/>
          <w:sz w:val="20"/>
        </w:rPr>
        <w:t>Termination Currency”</w:t>
      </w:r>
      <w:r>
        <w:rPr>
          <w:sz w:val="20"/>
        </w:rPr>
        <w:t xml:space="preserve"> means United States Dollars.</w:t>
      </w:r>
    </w:p>
    <w:p>
      <w:pPr>
        <w:pStyle w:val="Normal"/>
        <w:numPr>
          <w:ilvl w:val="0"/>
          <w:numId w:val="0"/>
        </w:numPr>
        <w:ind w:hanging="0" w:start="-720" w:end="0"/>
        <w:jc w:val="both"/>
        <w:rPr>
          <w:sz w:val="20"/>
        </w:rPr>
      </w:pPr>
      <w:r>
        <w:rPr>
          <w:sz w:val="20"/>
        </w:rPr>
      </w:r>
    </w:p>
    <w:p>
      <w:pPr>
        <w:pStyle w:val="Normal"/>
        <w:numPr>
          <w:ilvl w:val="0"/>
          <w:numId w:val="8"/>
        </w:numPr>
        <w:spacing w:lineRule="auto" w:line="480"/>
        <w:ind w:hanging="0" w:start="0" w:end="0"/>
        <w:jc w:val="both"/>
        <w:rPr>
          <w:sz w:val="20"/>
        </w:rPr>
      </w:pPr>
      <w:r>
        <w:rPr>
          <w:b/>
          <w:i/>
          <w:sz w:val="20"/>
        </w:rPr>
        <w:t>Additional Termination Event</w:t>
      </w:r>
      <w:r>
        <w:rPr>
          <w:b/>
          <w:sz w:val="20"/>
        </w:rPr>
        <w:t xml:space="preserve"> </w:t>
      </w:r>
      <w:r>
        <w:rPr>
          <w:sz w:val="20"/>
        </w:rPr>
        <w:t xml:space="preserve">will apply.  The following shall constitute an Additional Termination Event: </w:t>
      </w:r>
    </w:p>
    <w:p>
      <w:pPr>
        <w:pStyle w:val="Normal"/>
        <w:spacing w:lineRule="auto" w:line="480"/>
        <w:ind w:firstLine="720" w:end="0"/>
        <w:jc w:val="both"/>
        <w:rPr/>
      </w:pPr>
      <w:r>
        <w:rPr>
          <w:b/>
          <w:sz w:val="20"/>
        </w:rPr>
        <w:t>“</w:t>
      </w:r>
      <w:r>
        <w:rPr>
          <w:b/>
          <w:sz w:val="20"/>
        </w:rPr>
        <w:t>Ratings Event”.</w:t>
      </w:r>
      <w:r>
        <w:rPr>
          <w:sz w:val="20"/>
        </w:rPr>
        <w:t xml:space="preserve">  If the rating classification assigned to any outstanding long-term unsecured, unsubordinated debt of Party B or Party B’s Credit Support Provider, in the case of Party B or Party B’s Credit Support Provider or, Party A, in the case of Party A, is less than any of the following rating classifications, as determined by any of the following agencies:</w:t>
      </w:r>
    </w:p>
    <w:p>
      <w:pPr>
        <w:pStyle w:val="Normal"/>
        <w:spacing w:lineRule="auto" w:line="360"/>
        <w:ind w:firstLine="720" w:start="720" w:end="0"/>
        <w:jc w:val="both"/>
        <w:rPr>
          <w:sz w:val="20"/>
        </w:rPr>
      </w:pPr>
      <w:r>
        <w:rPr>
          <w:sz w:val="20"/>
        </w:rPr>
      </w:r>
    </w:p>
    <w:p>
      <w:pPr>
        <w:pStyle w:val="Normal"/>
        <w:spacing w:lineRule="auto" w:line="360"/>
        <w:ind w:firstLine="720" w:start="720" w:end="0"/>
        <w:jc w:val="both"/>
        <w:rPr>
          <w:sz w:val="20"/>
        </w:rPr>
      </w:pPr>
      <w:r>
        <w:rPr>
          <w:b/>
          <w:sz w:val="20"/>
          <w:u w:val="single"/>
        </w:rPr>
        <w:t>Rating Agency</w:t>
      </w:r>
      <w:r>
        <w:rPr>
          <w:b/>
          <w:sz w:val="20"/>
        </w:rPr>
        <w:tab/>
      </w:r>
      <w:r>
        <w:rPr>
          <w:sz w:val="20"/>
        </w:rPr>
        <w:tab/>
        <w:tab/>
      </w:r>
      <w:r>
        <w:rPr>
          <w:b/>
          <w:sz w:val="20"/>
          <w:u w:val="single"/>
        </w:rPr>
        <w:t>Rating Classification</w:t>
      </w:r>
    </w:p>
    <w:p>
      <w:pPr>
        <w:pStyle w:val="Normal"/>
        <w:spacing w:lineRule="auto" w:line="360"/>
        <w:ind w:firstLine="720" w:start="720" w:end="0"/>
        <w:jc w:val="both"/>
        <w:rPr>
          <w:sz w:val="20"/>
        </w:rPr>
      </w:pPr>
      <w:r>
        <w:rPr>
          <w:sz w:val="20"/>
        </w:rPr>
        <w:t>Moody’s Investor Service, Inc.</w:t>
        <w:tab/>
        <w:t>Baa2</w:t>
      </w:r>
    </w:p>
    <w:p>
      <w:pPr>
        <w:pStyle w:val="Normal"/>
        <w:spacing w:lineRule="auto" w:line="360"/>
        <w:ind w:firstLine="720" w:start="720" w:end="0"/>
        <w:jc w:val="both"/>
        <w:rPr>
          <w:sz w:val="20"/>
        </w:rPr>
      </w:pPr>
      <w:r>
        <w:rPr>
          <w:sz w:val="20"/>
        </w:rPr>
        <w:t>Standard &amp; Poor’s Corp.</w:t>
        <w:tab/>
        <w:tab/>
        <w:t>BBB</w:t>
      </w:r>
    </w:p>
    <w:p>
      <w:pPr>
        <w:pStyle w:val="Normal"/>
        <w:spacing w:lineRule="auto" w:line="360"/>
        <w:ind w:firstLine="720" w:start="720" w:end="0"/>
        <w:jc w:val="both"/>
        <w:rPr>
          <w:sz w:val="20"/>
        </w:rPr>
      </w:pPr>
      <w:r>
        <w:rPr>
          <w:sz w:val="20"/>
        </w:rPr>
      </w:r>
    </w:p>
    <w:p>
      <w:pPr>
        <w:pStyle w:val="Normal"/>
        <w:spacing w:lineRule="auto" w:line="480"/>
        <w:ind w:end="-720"/>
        <w:jc w:val="both"/>
        <w:rPr>
          <w:sz w:val="20"/>
        </w:rPr>
      </w:pPr>
      <w:r>
        <w:rPr>
          <w:sz w:val="20"/>
        </w:rPr>
        <w:t>then a “Ratings Event” shall be deemed to have occurred with respect to Party B (if such occurrence</w:t>
      </w:r>
    </w:p>
    <w:p>
      <w:pPr>
        <w:pStyle w:val="Normal"/>
        <w:spacing w:lineRule="auto" w:line="480"/>
        <w:ind w:end="-720"/>
        <w:jc w:val="both"/>
        <w:rPr>
          <w:sz w:val="20"/>
        </w:rPr>
      </w:pPr>
      <w:r>
        <w:rPr>
          <w:sz w:val="20"/>
        </w:rPr>
        <w:t xml:space="preserve">is with respect to Party B or the Credit Support Provider of Party B) or Party A (if such occurrence is </w:t>
      </w:r>
    </w:p>
    <w:p>
      <w:pPr>
        <w:pStyle w:val="BodyText2"/>
        <w:spacing w:lineRule="auto" w:line="360"/>
        <w:rPr/>
      </w:pPr>
      <w:r>
        <w:rPr/>
        <w:t>with respect to Party A).</w:t>
      </w:r>
    </w:p>
    <w:p>
      <w:pPr>
        <w:pStyle w:val="BodyText2"/>
        <w:spacing w:lineRule="auto" w:line="360"/>
        <w:rPr/>
      </w:pPr>
      <w:r>
        <w:rPr/>
      </w:r>
    </w:p>
    <w:p>
      <w:pPr>
        <w:pStyle w:val="BodyText2"/>
        <w:spacing w:lineRule="auto" w:line="480"/>
        <w:rPr/>
      </w:pPr>
      <w:r>
        <w:rPr/>
        <w:t>For the purpose of the foregoing Termination Event, the Affected Party or Affected Parties shall be:</w:t>
      </w:r>
    </w:p>
    <w:p>
      <w:pPr>
        <w:pStyle w:val="Normal"/>
        <w:ind w:firstLine="360" w:start="-360" w:end="-720"/>
        <w:jc w:val="both"/>
        <w:rPr>
          <w:sz w:val="20"/>
        </w:rPr>
      </w:pPr>
      <w:r>
        <w:rPr>
          <w:sz w:val="20"/>
        </w:rPr>
        <w:t>The Party for which the Ratings Event is deemed to have occurred shall be the sole Affected Party.</w:t>
      </w:r>
    </w:p>
    <w:p>
      <w:pPr>
        <w:pStyle w:val="Normal"/>
        <w:ind w:firstLine="360" w:start="-360" w:end="-720"/>
        <w:jc w:val="both"/>
        <w:rPr>
          <w:sz w:val="20"/>
        </w:rPr>
      </w:pPr>
      <w:r>
        <w:rPr>
          <w:sz w:val="20"/>
        </w:rPr>
      </w:r>
    </w:p>
    <w:p>
      <w:pPr>
        <w:pStyle w:val="Normal"/>
        <w:ind w:firstLine="360" w:start="-360" w:end="-720"/>
        <w:jc w:val="both"/>
        <w:rPr>
          <w:sz w:val="20"/>
        </w:rPr>
      </w:pPr>
      <w:r>
        <w:rPr>
          <w:sz w:val="20"/>
        </w:rPr>
      </w:r>
    </w:p>
    <w:p>
      <w:pPr>
        <w:pStyle w:val="Normal"/>
        <w:ind w:end="-720"/>
        <w:jc w:val="both"/>
        <w:rPr>
          <w:sz w:val="20"/>
        </w:rPr>
      </w:pPr>
      <w:r>
        <w:rPr>
          <w:sz w:val="20"/>
        </w:rPr>
        <w:t xml:space="preserve">Part 2.  </w:t>
      </w:r>
      <w:r>
        <w:rPr>
          <w:b/>
          <w:sz w:val="20"/>
        </w:rPr>
        <w:t>Tax Representations</w:t>
      </w:r>
    </w:p>
    <w:p>
      <w:pPr>
        <w:pStyle w:val="Normal"/>
        <w:ind w:start="-720" w:end="-720"/>
        <w:jc w:val="both"/>
        <w:rPr>
          <w:sz w:val="20"/>
        </w:rPr>
      </w:pPr>
      <w:r>
        <w:rPr>
          <w:sz w:val="20"/>
        </w:rPr>
      </w:r>
    </w:p>
    <w:p>
      <w:pPr>
        <w:pStyle w:val="Normal"/>
        <w:numPr>
          <w:ilvl w:val="0"/>
          <w:numId w:val="14"/>
        </w:numPr>
        <w:spacing w:lineRule="auto" w:line="480"/>
        <w:ind w:hanging="0" w:start="0" w:end="0"/>
        <w:jc w:val="both"/>
        <w:rPr>
          <w:sz w:val="20"/>
        </w:rPr>
      </w:pPr>
      <w:r>
        <w:rPr>
          <w:b/>
          <w:i/>
          <w:sz w:val="20"/>
        </w:rPr>
        <w:t>Payer Representations</w:t>
      </w:r>
      <w:r>
        <w:rPr>
          <w:sz w:val="20"/>
        </w:rPr>
        <w:t xml:space="preserve">.  For the purpose of Section 3(e) of this Agreement, Party A and Party B will make the following representations: </w:t>
      </w:r>
    </w:p>
    <w:p>
      <w:pPr>
        <w:pStyle w:val="Normal"/>
        <w:spacing w:lineRule="auto" w:line="360"/>
        <w:jc w:val="both"/>
        <w:rPr/>
      </w:pPr>
      <w:r>
        <w:rPr>
          <w:sz w:val="20"/>
        </w:rPr>
        <w:t xml:space="preserve">It is not required by any applicable law, as modified by the practice of any relevant governmental revenue authority, of any Relevant Jurisdiction to make any deduction or withholding for or on account of any Tax from any payment (other than interest under Section 2(e), 6(d)(ii) or 6(e) of this Agreement) to be made by it to the other party under this Agreement.  In making this representation, it may rely on (i) the accuracy of any representations made by the other party pursuant to Section 3(f) of this Agreement, (ii) the satisfaction of the agreement contained in Section 4(a)(i) or 4(a)(iii) of this Agreement and the accuracy and effectiveness of any document provided by the other party pursuant to Section 4(a)(i) or 4(a)(iii) of this Agreement and (iii) the satisfaction of the agreement of the other party contained in Section 4(d) of this Agreement, </w:t>
      </w:r>
      <w:r>
        <w:rPr>
          <w:i/>
          <w:sz w:val="20"/>
        </w:rPr>
        <w:t>provided</w:t>
      </w:r>
      <w:r>
        <w:rPr>
          <w:sz w:val="20"/>
        </w:rPr>
        <w:t xml:space="preserve"> that it shall not be a breach of this representation where reliance is placed on clause (ii) and the other party does not deliver a form or document under Section 4(a)(iii) by reason of material prejudice to its legal or commercial position.</w:t>
      </w:r>
    </w:p>
    <w:p>
      <w:pPr>
        <w:pStyle w:val="Normal"/>
        <w:ind w:start="-360" w:end="-720"/>
        <w:jc w:val="both"/>
        <w:rPr>
          <w:sz w:val="20"/>
        </w:rPr>
      </w:pPr>
      <w:r>
        <w:rPr>
          <w:sz w:val="20"/>
        </w:rPr>
      </w:r>
    </w:p>
    <w:p>
      <w:pPr>
        <w:pStyle w:val="Normal"/>
        <w:numPr>
          <w:ilvl w:val="0"/>
          <w:numId w:val="13"/>
        </w:numPr>
        <w:spacing w:lineRule="auto" w:line="480"/>
        <w:ind w:hanging="0" w:start="0" w:end="0"/>
        <w:jc w:val="both"/>
        <w:rPr>
          <w:sz w:val="20"/>
        </w:rPr>
      </w:pPr>
      <w:r>
        <w:rPr>
          <w:b/>
          <w:i/>
          <w:sz w:val="20"/>
        </w:rPr>
        <w:t>Payee Representations</w:t>
      </w:r>
      <w:r>
        <w:rPr>
          <w:sz w:val="20"/>
        </w:rPr>
        <w:t>.  For the purpose of Section 3(f) of this Agreement, Party A and Party B make the representations specified below, if any:</w:t>
      </w:r>
    </w:p>
    <w:p>
      <w:pPr>
        <w:pStyle w:val="BodyText2"/>
        <w:spacing w:lineRule="auto" w:line="360"/>
        <w:rPr/>
      </w:pPr>
      <w:r>
        <w:rPr/>
        <w:t xml:space="preserve">The following representation will apply to Party A: </w:t>
      </w:r>
    </w:p>
    <w:p>
      <w:pPr>
        <w:pStyle w:val="Normal"/>
        <w:jc w:val="both"/>
        <w:rPr>
          <w:sz w:val="20"/>
        </w:rPr>
      </w:pPr>
      <w:r>
        <w:rPr>
          <w:sz w:val="20"/>
        </w:rPr>
      </w:r>
    </w:p>
    <w:p>
      <w:pPr>
        <w:pStyle w:val="BodyText2"/>
        <w:spacing w:lineRule="auto" w:line="360"/>
        <w:ind w:end="0"/>
        <w:rPr/>
      </w:pPr>
      <w:r>
        <w:rPr/>
        <w:t xml:space="preserve">Party A is a transportation corporation created and organized under the laws of the State of New York.  </w:t>
      </w:r>
    </w:p>
    <w:p>
      <w:pPr>
        <w:pStyle w:val="BodyText2"/>
        <w:spacing w:lineRule="auto" w:line="360"/>
        <w:ind w:end="0"/>
        <w:rPr/>
      </w:pPr>
      <w:r>
        <w:rPr/>
        <w:t>Party A is a U.S. person within the meaning of Section 7701 of the Internal Revenue Code and its U.S. Taxpayer identification number is 15-0398550.</w:t>
      </w:r>
    </w:p>
    <w:p>
      <w:pPr>
        <w:pStyle w:val="Normal"/>
        <w:ind w:start="-360" w:end="-720"/>
        <w:jc w:val="both"/>
        <w:rPr>
          <w:sz w:val="20"/>
        </w:rPr>
      </w:pPr>
      <w:r>
        <w:rPr>
          <w:sz w:val="20"/>
        </w:rPr>
      </w:r>
    </w:p>
    <w:p>
      <w:pPr>
        <w:pStyle w:val="BodyText2"/>
        <w:spacing w:lineRule="auto" w:line="360"/>
        <w:rPr/>
      </w:pPr>
      <w:r>
        <w:rPr/>
        <w:t>The following representation will apply to Party B:</w:t>
      </w:r>
    </w:p>
    <w:p>
      <w:pPr>
        <w:pStyle w:val="Normal"/>
        <w:ind w:start="-360" w:end="0"/>
        <w:jc w:val="both"/>
        <w:rPr>
          <w:sz w:val="20"/>
        </w:rPr>
      </w:pPr>
      <w:r>
        <w:rPr>
          <w:sz w:val="20"/>
        </w:rPr>
      </w:r>
    </w:p>
    <w:p>
      <w:pPr>
        <w:pStyle w:val="BodyText2"/>
        <w:spacing w:lineRule="auto" w:line="360"/>
        <w:ind w:end="0"/>
        <w:rPr/>
      </w:pPr>
      <w:r>
        <w:rPr/>
        <w:t>Party B is created and organized under the laws of the State of _____________.  Party B is a U.S. person within the meaning of section 7701 of the Internal Revenue Code and its U.S. Taxpayer identification number is _____________.</w:t>
      </w:r>
    </w:p>
    <w:p>
      <w:pPr>
        <w:pStyle w:val="Normal"/>
        <w:spacing w:lineRule="auto" w:line="360"/>
        <w:ind w:firstLine="720" w:start="-720" w:end="-720"/>
        <w:jc w:val="both"/>
        <w:rPr>
          <w:sz w:val="20"/>
        </w:rPr>
      </w:pPr>
      <w:r>
        <w:rPr>
          <w:sz w:val="20"/>
        </w:rPr>
      </w:r>
    </w:p>
    <w:p>
      <w:pPr>
        <w:pStyle w:val="Normal"/>
        <w:spacing w:lineRule="auto" w:line="360"/>
        <w:ind w:firstLine="720" w:start="-720" w:end="-720"/>
        <w:jc w:val="both"/>
        <w:rPr>
          <w:sz w:val="20"/>
        </w:rPr>
      </w:pPr>
      <w:r>
        <w:rPr>
          <w:sz w:val="20"/>
        </w:rPr>
      </w:r>
    </w:p>
    <w:p>
      <w:pPr>
        <w:pStyle w:val="Normal"/>
        <w:spacing w:lineRule="auto" w:line="360"/>
        <w:ind w:firstLine="720" w:start="-720" w:end="-720"/>
        <w:jc w:val="both"/>
        <w:rPr>
          <w:sz w:val="20"/>
        </w:rPr>
      </w:pPr>
      <w:r>
        <w:rPr>
          <w:sz w:val="20"/>
        </w:rPr>
      </w:r>
    </w:p>
    <w:p>
      <w:pPr>
        <w:pStyle w:val="Normal"/>
        <w:spacing w:lineRule="auto" w:line="360"/>
        <w:ind w:firstLine="720" w:start="-720" w:end="-720"/>
        <w:jc w:val="both"/>
        <w:rPr/>
      </w:pPr>
      <w:r>
        <w:rPr>
          <w:sz w:val="20"/>
        </w:rPr>
        <w:t xml:space="preserve">Part 3.  </w:t>
      </w:r>
      <w:r>
        <w:rPr>
          <w:b/>
          <w:sz w:val="20"/>
        </w:rPr>
        <w:t>Agreement to Deliver Documents</w:t>
      </w:r>
      <w:r>
        <w:rPr>
          <w:sz w:val="20"/>
        </w:rPr>
        <w:t xml:space="preserve">. </w:t>
      </w:r>
    </w:p>
    <w:p>
      <w:pPr>
        <w:pStyle w:val="BodyText3"/>
        <w:spacing w:lineRule="auto" w:line="480"/>
        <w:rPr/>
      </w:pPr>
      <w:r>
        <w:rPr/>
        <w:t>For the purpose of Sections 4(a)(i) and (ii) of this Agreement, each party agrees to deliver the following documents, as applicable:</w:t>
      </w:r>
    </w:p>
    <w:p>
      <w:pPr>
        <w:pStyle w:val="Normal"/>
        <w:ind w:start="-720" w:end="-720"/>
        <w:jc w:val="both"/>
        <w:rPr>
          <w:sz w:val="20"/>
        </w:rPr>
      </w:pPr>
      <w:r>
        <w:rPr>
          <w:sz w:val="20"/>
        </w:rPr>
      </w:r>
    </w:p>
    <w:p>
      <w:pPr>
        <w:pStyle w:val="Normal"/>
        <w:numPr>
          <w:ilvl w:val="0"/>
          <w:numId w:val="16"/>
        </w:numPr>
        <w:ind w:hanging="0" w:start="0" w:end="-720"/>
        <w:jc w:val="both"/>
        <w:rPr>
          <w:sz w:val="20"/>
        </w:rPr>
      </w:pPr>
      <w:r>
        <w:rPr>
          <w:sz w:val="20"/>
        </w:rPr>
        <w:t>Tax forms, documents or certificates to be delivered are:</w:t>
      </w:r>
    </w:p>
    <w:p>
      <w:pPr>
        <w:pStyle w:val="Normal"/>
        <w:ind w:end="-720"/>
        <w:jc w:val="both"/>
        <w:rPr>
          <w:sz w:val="20"/>
        </w:rPr>
      </w:pPr>
      <w:r>
        <w:rPr>
          <w:sz w:val="20"/>
        </w:rPr>
      </w:r>
    </w:p>
    <w:p>
      <w:pPr>
        <w:pStyle w:val="Heading1"/>
        <w:rPr/>
      </w:pPr>
      <w:r>
        <w:rPr/>
        <w:t>Party required to</w:t>
        <w:tab/>
        <w:tab/>
        <w:t>Form/Document/</w:t>
        <w:tab/>
        <w:tab/>
        <w:tab/>
        <w:t>Date by which</w:t>
      </w:r>
    </w:p>
    <w:p>
      <w:pPr>
        <w:pStyle w:val="Normal"/>
        <w:ind w:end="-720"/>
        <w:jc w:val="both"/>
        <w:rPr>
          <w:sz w:val="20"/>
        </w:rPr>
      </w:pPr>
      <w:r>
        <w:rPr>
          <w:b/>
          <w:sz w:val="20"/>
        </w:rPr>
        <w:t>deliver document</w:t>
        <w:tab/>
        <w:tab/>
        <w:t>Certificate</w:t>
        <w:tab/>
        <w:tab/>
        <w:tab/>
        <w:tab/>
        <w:t>to be delivered</w:t>
      </w:r>
    </w:p>
    <w:p>
      <w:pPr>
        <w:pStyle w:val="Normal"/>
        <w:spacing w:lineRule="auto" w:line="360"/>
        <w:ind w:end="-720"/>
        <w:jc w:val="both"/>
        <w:rPr>
          <w:sz w:val="20"/>
        </w:rPr>
      </w:pPr>
      <w:r>
        <w:rPr>
          <w:sz w:val="20"/>
        </w:rPr>
      </w:r>
    </w:p>
    <w:p>
      <w:pPr>
        <w:pStyle w:val="BodyText2"/>
        <w:ind w:end="0"/>
        <w:rPr/>
      </w:pPr>
      <w:r>
        <w:rPr/>
        <w:t>Party A and B</w:t>
        <w:tab/>
        <w:tab/>
        <w:tab/>
        <w:t>Any document required or reasonably</w:t>
        <w:tab/>
        <w:t xml:space="preserve">Promptly after the earlier Party if </w:t>
      </w:r>
    </w:p>
    <w:p>
      <w:pPr>
        <w:pStyle w:val="BodyTextIndent"/>
        <w:rPr/>
      </w:pPr>
      <w:r>
        <w:rPr/>
        <w:tab/>
        <w:tab/>
        <w:tab/>
        <w:tab/>
        <w:tab/>
        <w:t>requested to allow the other party to</w:t>
        <w:tab/>
        <w:t>(i) reasonable demand by either</w:t>
        <w:tab/>
        <w:tab/>
        <w:tab/>
        <w:tab/>
        <w:tab/>
        <w:tab/>
        <w:t>make payments under the Agreement</w:t>
        <w:tab/>
        <w:t xml:space="preserve">party or (ii) learning that such </w:t>
      </w:r>
    </w:p>
    <w:p>
      <w:pPr>
        <w:pStyle w:val="BodyTextIndent"/>
        <w:rPr/>
      </w:pPr>
      <w:r>
        <w:rPr/>
        <w:tab/>
        <w:tab/>
        <w:tab/>
        <w:tab/>
        <w:tab/>
        <w:t>without any deduction or withholding</w:t>
        <w:tab/>
        <w:t>form or document is required.</w:t>
      </w:r>
    </w:p>
    <w:p>
      <w:pPr>
        <w:pStyle w:val="Normal"/>
        <w:ind w:start="-720" w:end="0"/>
        <w:jc w:val="both"/>
        <w:rPr>
          <w:sz w:val="20"/>
        </w:rPr>
      </w:pPr>
      <w:r>
        <w:rPr>
          <w:sz w:val="20"/>
        </w:rPr>
        <w:tab/>
        <w:tab/>
        <w:tab/>
        <w:tab/>
        <w:tab/>
        <w:t>for or on the account of any Tax or</w:t>
      </w:r>
    </w:p>
    <w:p>
      <w:pPr>
        <w:pStyle w:val="BodyTextIndent"/>
        <w:rPr/>
      </w:pPr>
      <w:r>
        <w:rPr/>
        <w:tab/>
        <w:tab/>
        <w:tab/>
        <w:tab/>
        <w:tab/>
        <w:t xml:space="preserve">with such deduction or withholding at </w:t>
      </w:r>
    </w:p>
    <w:p>
      <w:pPr>
        <w:pStyle w:val="BodyTextIndent"/>
        <w:ind w:firstLine="720" w:start="2160" w:end="0"/>
        <w:rPr/>
      </w:pPr>
      <w:r>
        <w:rPr/>
        <w:t>a reduced rate.</w:t>
      </w:r>
    </w:p>
    <w:p>
      <w:pPr>
        <w:pStyle w:val="Normal"/>
        <w:ind w:start="-720" w:end="0"/>
        <w:jc w:val="both"/>
        <w:rPr>
          <w:sz w:val="20"/>
        </w:rPr>
      </w:pPr>
      <w:r>
        <w:rPr>
          <w:sz w:val="20"/>
        </w:rPr>
      </w:r>
    </w:p>
    <w:p>
      <w:pPr>
        <w:pStyle w:val="Normal"/>
        <w:jc w:val="both"/>
        <w:rPr>
          <w:sz w:val="20"/>
        </w:rPr>
      </w:pPr>
      <w:r>
        <w:rPr>
          <w:sz w:val="20"/>
        </w:rPr>
        <w:t>Party B</w:t>
        <w:tab/>
        <w:tab/>
        <w:tab/>
        <w:tab/>
        <w:t>IRS Form 4224</w:t>
        <w:tab/>
        <w:tab/>
        <w:tab/>
        <w:tab/>
        <w:t xml:space="preserve">Annually and as soon as </w:t>
      </w:r>
    </w:p>
    <w:p>
      <w:pPr>
        <w:pStyle w:val="Normal"/>
        <w:ind w:start="-720" w:end="0"/>
        <w:jc w:val="both"/>
        <w:rPr>
          <w:sz w:val="20"/>
        </w:rPr>
      </w:pPr>
      <w:r>
        <w:rPr>
          <w:sz w:val="20"/>
        </w:rPr>
        <w:tab/>
        <w:tab/>
        <w:tab/>
        <w:tab/>
        <w:tab/>
        <w:t>IRS Form 1001</w:t>
        <w:tab/>
        <w:tab/>
        <w:tab/>
        <w:tab/>
        <w:t xml:space="preserve">reasonably practicable if there </w:t>
      </w:r>
    </w:p>
    <w:p>
      <w:pPr>
        <w:pStyle w:val="Normal"/>
        <w:ind w:start="-720" w:end="0"/>
        <w:jc w:val="both"/>
        <w:rPr>
          <w:sz w:val="20"/>
        </w:rPr>
      </w:pPr>
      <w:r>
        <w:rPr>
          <w:sz w:val="20"/>
        </w:rPr>
        <w:tab/>
        <w:tab/>
        <w:tab/>
        <w:tab/>
        <w:tab/>
        <w:t>or its successor form</w:t>
        <w:tab/>
        <w:tab/>
        <w:tab/>
        <w:t xml:space="preserve">has been a change to the </w:t>
      </w:r>
    </w:p>
    <w:p>
      <w:pPr>
        <w:pStyle w:val="Normal"/>
        <w:ind w:firstLine="720" w:start="5760" w:end="0"/>
        <w:jc w:val="both"/>
        <w:rPr>
          <w:sz w:val="20"/>
        </w:rPr>
      </w:pPr>
      <w:r>
        <w:rPr>
          <w:sz w:val="20"/>
        </w:rPr>
        <w:t>document, in duplicate.</w:t>
      </w:r>
    </w:p>
    <w:p>
      <w:pPr>
        <w:pStyle w:val="Normal"/>
        <w:jc w:val="both"/>
        <w:rPr>
          <w:sz w:val="20"/>
        </w:rPr>
      </w:pPr>
      <w:r>
        <w:rPr>
          <w:sz w:val="20"/>
        </w:rPr>
      </w:r>
    </w:p>
    <w:p>
      <w:pPr>
        <w:pStyle w:val="Normal"/>
        <w:numPr>
          <w:ilvl w:val="0"/>
          <w:numId w:val="9"/>
        </w:numPr>
        <w:ind w:hanging="0" w:start="0" w:end="0"/>
        <w:jc w:val="both"/>
        <w:rPr>
          <w:sz w:val="20"/>
        </w:rPr>
      </w:pPr>
      <w:r>
        <w:rPr>
          <w:sz w:val="20"/>
        </w:rPr>
        <w:t>Other documents to be delivered are:</w:t>
      </w:r>
    </w:p>
    <w:p>
      <w:pPr>
        <w:pStyle w:val="Normal"/>
        <w:jc w:val="both"/>
        <w:rPr>
          <w:sz w:val="20"/>
        </w:rPr>
      </w:pPr>
      <w:r>
        <w:rPr>
          <w:sz w:val="20"/>
        </w:rPr>
      </w:r>
    </w:p>
    <w:p>
      <w:pPr>
        <w:pStyle w:val="Normal"/>
        <w:jc w:val="both"/>
        <w:rPr>
          <w:b/>
          <w:sz w:val="20"/>
        </w:rPr>
      </w:pPr>
      <w:r>
        <w:rPr>
          <w:b/>
          <w:sz w:val="20"/>
        </w:rPr>
        <w:t>Party required to</w:t>
        <w:tab/>
        <w:t>Form/Document/</w:t>
        <w:tab/>
        <w:tab/>
        <w:t xml:space="preserve">           </w:t>
        <w:tab/>
        <w:t>Date by which</w:t>
        <w:tab/>
        <w:t xml:space="preserve">          Covered by</w:t>
      </w:r>
    </w:p>
    <w:p>
      <w:pPr>
        <w:pStyle w:val="BodyText2"/>
        <w:ind w:end="0"/>
        <w:rPr>
          <w:b/>
        </w:rPr>
      </w:pPr>
      <w:r>
        <w:rPr>
          <w:b/>
        </w:rPr>
        <w:t>deliver document</w:t>
        <w:tab/>
        <w:t>Certificate</w:t>
        <w:tab/>
        <w:tab/>
        <w:tab/>
        <w:t xml:space="preserve">           </w:t>
        <w:tab/>
        <w:t>to be delivered</w:t>
        <w:tab/>
        <w:t xml:space="preserve">          Section 3(d)</w:t>
      </w:r>
    </w:p>
    <w:p>
      <w:pPr>
        <w:pStyle w:val="Normal"/>
        <w:spacing w:lineRule="auto" w:line="360"/>
        <w:jc w:val="both"/>
        <w:rPr>
          <w:sz w:val="20"/>
        </w:rPr>
      </w:pPr>
      <w:r>
        <w:rPr>
          <w:b/>
          <w:sz w:val="20"/>
        </w:rPr>
        <w:tab/>
        <w:tab/>
        <w:tab/>
        <w:tab/>
        <w:tab/>
        <w:tab/>
        <w:tab/>
        <w:tab/>
        <w:tab/>
        <w:tab/>
        <w:t xml:space="preserve">       Representation</w:t>
      </w:r>
    </w:p>
    <w:p>
      <w:pPr>
        <w:pStyle w:val="Normal"/>
        <w:jc w:val="both"/>
        <w:rPr>
          <w:sz w:val="20"/>
        </w:rPr>
      </w:pPr>
      <w:r>
        <w:rPr>
          <w:sz w:val="20"/>
        </w:rPr>
        <w:t>Party B</w:t>
        <w:tab/>
        <w:tab/>
        <w:tab/>
        <w:t>A guarantee, dated the date</w:t>
        <w:tab/>
        <w:tab/>
        <w:t xml:space="preserve">As of the execution  </w:t>
        <w:tab/>
        <w:t xml:space="preserve">  Yes</w:t>
      </w:r>
    </w:p>
    <w:p>
      <w:pPr>
        <w:pStyle w:val="Normal"/>
        <w:ind w:firstLine="720" w:start="1440" w:end="0"/>
        <w:jc w:val="both"/>
        <w:rPr>
          <w:sz w:val="20"/>
        </w:rPr>
      </w:pPr>
      <w:r>
        <w:rPr>
          <w:sz w:val="20"/>
        </w:rPr>
        <w:t>hereof, issued by Credit</w:t>
        <w:tab/>
        <w:tab/>
        <w:tab/>
        <w:t>of this Agreement.</w:t>
      </w:r>
    </w:p>
    <w:p>
      <w:pPr>
        <w:pStyle w:val="Normal"/>
        <w:ind w:firstLine="720" w:start="1440" w:end="0"/>
        <w:jc w:val="both"/>
        <w:rPr>
          <w:sz w:val="20"/>
        </w:rPr>
      </w:pPr>
      <w:r>
        <w:rPr>
          <w:sz w:val="20"/>
        </w:rPr>
        <w:t xml:space="preserve">Support Provider in favor of </w:t>
      </w:r>
    </w:p>
    <w:p>
      <w:pPr>
        <w:pStyle w:val="Normal"/>
        <w:ind w:firstLine="720" w:start="1440" w:end="0"/>
        <w:jc w:val="both"/>
        <w:rPr>
          <w:sz w:val="20"/>
        </w:rPr>
      </w:pPr>
      <w:r>
        <w:rPr>
          <w:sz w:val="20"/>
        </w:rPr>
        <w:t xml:space="preserve">Party A, substantially in the </w:t>
      </w:r>
    </w:p>
    <w:p>
      <w:pPr>
        <w:pStyle w:val="Normal"/>
        <w:ind w:firstLine="720" w:start="1440" w:end="0"/>
        <w:jc w:val="both"/>
        <w:rPr>
          <w:sz w:val="20"/>
        </w:rPr>
      </w:pPr>
      <w:r>
        <w:rPr>
          <w:sz w:val="20"/>
        </w:rPr>
        <w:t>form provided to Party B by</w:t>
      </w:r>
    </w:p>
    <w:p>
      <w:pPr>
        <w:pStyle w:val="Normal"/>
        <w:ind w:firstLine="720" w:start="1440" w:end="0"/>
        <w:jc w:val="both"/>
        <w:rPr>
          <w:sz w:val="20"/>
        </w:rPr>
      </w:pPr>
      <w:r>
        <w:rPr>
          <w:sz w:val="20"/>
        </w:rPr>
        <w:t>Party A (the “Guarantee”).</w:t>
      </w:r>
    </w:p>
    <w:p>
      <w:pPr>
        <w:pStyle w:val="Normal"/>
        <w:ind w:start="-720" w:end="0"/>
        <w:jc w:val="both"/>
        <w:rPr>
          <w:sz w:val="20"/>
        </w:rPr>
      </w:pPr>
      <w:r>
        <w:rPr>
          <w:sz w:val="20"/>
        </w:rPr>
      </w:r>
    </w:p>
    <w:p>
      <w:pPr>
        <w:pStyle w:val="Normal"/>
        <w:jc w:val="both"/>
        <w:rPr>
          <w:sz w:val="20"/>
        </w:rPr>
      </w:pPr>
      <w:r>
        <w:rPr>
          <w:sz w:val="20"/>
        </w:rPr>
        <w:t>Party A and B</w:t>
        <w:tab/>
        <w:tab/>
        <w:t>The Credit Support Annex as of</w:t>
        <w:tab/>
        <w:tab/>
        <w:t xml:space="preserve">As of the execution </w:t>
        <w:tab/>
        <w:t xml:space="preserve">  Yes</w:t>
      </w:r>
    </w:p>
    <w:p>
      <w:pPr>
        <w:pStyle w:val="BodyTextIndent"/>
        <w:rPr/>
      </w:pPr>
      <w:r>
        <w:rPr/>
        <w:tab/>
        <w:tab/>
        <w:tab/>
        <w:tab/>
        <w:t>even date herewith.</w:t>
        <w:tab/>
        <w:tab/>
        <w:tab/>
        <w:t>of this Agreement.</w:t>
      </w:r>
    </w:p>
    <w:p>
      <w:pPr>
        <w:pStyle w:val="Normal"/>
        <w:ind w:hanging="360" w:start="-360" w:end="0"/>
        <w:jc w:val="both"/>
        <w:rPr>
          <w:sz w:val="20"/>
        </w:rPr>
      </w:pPr>
      <w:r>
        <w:rPr>
          <w:sz w:val="20"/>
        </w:rPr>
      </w:r>
    </w:p>
    <w:p>
      <w:pPr>
        <w:pStyle w:val="Normal"/>
        <w:jc w:val="both"/>
        <w:rPr>
          <w:sz w:val="20"/>
        </w:rPr>
      </w:pPr>
      <w:r>
        <w:rPr>
          <w:sz w:val="20"/>
        </w:rPr>
        <w:t>Party A and B</w:t>
        <w:tab/>
        <w:tab/>
        <w:t>Audited Annual Financial Statements</w:t>
        <w:tab/>
        <w:t>Upon Request</w:t>
        <w:tab/>
        <w:tab/>
        <w:t xml:space="preserve">  Yes</w:t>
      </w:r>
    </w:p>
    <w:p>
      <w:pPr>
        <w:pStyle w:val="Normal"/>
        <w:ind w:hanging="360" w:start="-360" w:end="0"/>
        <w:jc w:val="both"/>
        <w:rPr>
          <w:sz w:val="20"/>
        </w:rPr>
      </w:pPr>
      <w:r>
        <w:rPr>
          <w:sz w:val="20"/>
        </w:rPr>
        <w:tab/>
        <w:tab/>
        <w:tab/>
        <w:tab/>
        <w:tab/>
        <w:t xml:space="preserve">or their respective Credit Support </w:t>
      </w:r>
    </w:p>
    <w:p>
      <w:pPr>
        <w:pStyle w:val="Normal"/>
        <w:ind w:hanging="360" w:start="-360" w:end="0"/>
        <w:jc w:val="both"/>
        <w:rPr>
          <w:sz w:val="20"/>
        </w:rPr>
      </w:pPr>
      <w:r>
        <w:rPr>
          <w:sz w:val="20"/>
        </w:rPr>
        <w:tab/>
        <w:tab/>
        <w:tab/>
        <w:tab/>
        <w:tab/>
        <w:t>Provider.</w:t>
      </w:r>
    </w:p>
    <w:p>
      <w:pPr>
        <w:pStyle w:val="Normal"/>
        <w:ind w:hanging="360" w:start="-360" w:end="0"/>
        <w:jc w:val="both"/>
        <w:rPr>
          <w:sz w:val="20"/>
        </w:rPr>
      </w:pPr>
      <w:r>
        <w:rPr>
          <w:sz w:val="20"/>
        </w:rPr>
      </w:r>
    </w:p>
    <w:p>
      <w:pPr>
        <w:pStyle w:val="Normal"/>
        <w:jc w:val="both"/>
        <w:rPr>
          <w:sz w:val="20"/>
        </w:rPr>
      </w:pPr>
      <w:r>
        <w:rPr>
          <w:sz w:val="20"/>
        </w:rPr>
        <w:t>Party A and B</w:t>
        <w:tab/>
        <w:tab/>
        <w:t>Such other documents as the other</w:t>
        <w:tab/>
        <w:t>Upon Request</w:t>
        <w:tab/>
        <w:tab/>
        <w:t xml:space="preserve">  Yes</w:t>
      </w:r>
    </w:p>
    <w:p>
      <w:pPr>
        <w:pStyle w:val="Normal"/>
        <w:ind w:hanging="360" w:start="-360" w:end="0"/>
        <w:jc w:val="both"/>
        <w:rPr>
          <w:sz w:val="20"/>
        </w:rPr>
      </w:pPr>
      <w:r>
        <w:rPr>
          <w:sz w:val="20"/>
        </w:rPr>
        <w:tab/>
        <w:tab/>
        <w:tab/>
        <w:tab/>
        <w:tab/>
        <w:t>Party may reasonably request.</w:t>
      </w:r>
    </w:p>
    <w:p>
      <w:pPr>
        <w:pStyle w:val="Normal"/>
        <w:ind w:hanging="360" w:start="-360" w:end="0"/>
        <w:jc w:val="both"/>
        <w:rPr>
          <w:sz w:val="20"/>
        </w:rPr>
      </w:pPr>
      <w:r>
        <w:rPr>
          <w:sz w:val="20"/>
        </w:rPr>
      </w:r>
    </w:p>
    <w:p>
      <w:pPr>
        <w:pStyle w:val="Normal"/>
        <w:jc w:val="both"/>
        <w:rPr/>
      </w:pPr>
      <w:r>
        <w:rPr>
          <w:sz w:val="20"/>
        </w:rPr>
        <w:t xml:space="preserve">Part 4.  </w:t>
      </w:r>
      <w:r>
        <w:rPr>
          <w:b/>
          <w:sz w:val="20"/>
        </w:rPr>
        <w:t>Miscellaneous.</w:t>
      </w:r>
    </w:p>
    <w:p>
      <w:pPr>
        <w:pStyle w:val="Normal"/>
        <w:ind w:hanging="360" w:start="-360" w:end="0"/>
        <w:jc w:val="both"/>
        <w:rPr>
          <w:b/>
          <w:sz w:val="20"/>
        </w:rPr>
      </w:pPr>
      <w:r>
        <w:rPr>
          <w:b/>
          <w:sz w:val="20"/>
        </w:rPr>
      </w:r>
    </w:p>
    <w:p>
      <w:pPr>
        <w:pStyle w:val="Normal"/>
        <w:numPr>
          <w:ilvl w:val="0"/>
          <w:numId w:val="10"/>
        </w:numPr>
        <w:ind w:hanging="0" w:start="0" w:end="0"/>
        <w:jc w:val="both"/>
        <w:rPr>
          <w:sz w:val="20"/>
        </w:rPr>
      </w:pPr>
      <w:r>
        <w:rPr>
          <w:b/>
          <w:i/>
          <w:sz w:val="20"/>
        </w:rPr>
        <w:t>Addresses for Notices</w:t>
      </w:r>
      <w:r>
        <w:rPr>
          <w:sz w:val="20"/>
        </w:rPr>
        <w:t xml:space="preserve">.  For the purpose of Section 12(a) of this Agreement: </w:t>
      </w:r>
    </w:p>
    <w:p>
      <w:pPr>
        <w:pStyle w:val="Normal"/>
        <w:jc w:val="both"/>
        <w:rPr>
          <w:sz w:val="20"/>
        </w:rPr>
      </w:pPr>
      <w:r>
        <w:rPr>
          <w:sz w:val="20"/>
        </w:rPr>
      </w:r>
    </w:p>
    <w:p>
      <w:pPr>
        <w:pStyle w:val="Normal"/>
        <w:jc w:val="both"/>
        <w:rPr>
          <w:sz w:val="20"/>
        </w:rPr>
      </w:pPr>
      <w:r>
        <w:rPr>
          <w:sz w:val="20"/>
        </w:rPr>
        <w:t>Address for notices or communications to Party A:</w:t>
      </w:r>
    </w:p>
    <w:p>
      <w:pPr>
        <w:pStyle w:val="Normal"/>
        <w:ind w:start="-360" w:end="0"/>
        <w:jc w:val="both"/>
        <w:rPr>
          <w:sz w:val="20"/>
        </w:rPr>
      </w:pPr>
      <w:r>
        <w:rPr>
          <w:sz w:val="20"/>
        </w:rPr>
      </w:r>
    </w:p>
    <w:p>
      <w:pPr>
        <w:pStyle w:val="BodyText2"/>
        <w:ind w:end="0"/>
        <w:rPr/>
      </w:pPr>
      <w:r>
        <w:rPr/>
        <w:t>Address:  New York State Electric &amp; Gas Corporation...............................................................</w:t>
      </w:r>
    </w:p>
    <w:p>
      <w:pPr>
        <w:pStyle w:val="BodyText2"/>
        <w:ind w:start="720" w:end="0"/>
        <w:rPr/>
      </w:pPr>
      <w:r>
        <w:rPr>
          <w:rFonts w:eastAsia="Arial"/>
        </w:rPr>
        <w:t xml:space="preserve">   </w:t>
      </w:r>
      <w:r>
        <w:rPr/>
        <w:t>Corporate Drive, Kirkwood Industrial Park</w:t>
      </w:r>
    </w:p>
    <w:p>
      <w:pPr>
        <w:pStyle w:val="Normal"/>
        <w:ind w:start="-360" w:end="0"/>
        <w:jc w:val="both"/>
        <w:rPr>
          <w:sz w:val="20"/>
        </w:rPr>
      </w:pPr>
      <w:r>
        <w:rPr>
          <w:rFonts w:eastAsia="Arial"/>
        </w:rPr>
        <w:t xml:space="preserve">    </w:t>
      </w:r>
      <w:r>
        <w:rPr/>
        <w:tab/>
        <w:tab/>
        <w:t xml:space="preserve">   Binghamton, New York 13902</w:t>
      </w:r>
    </w:p>
    <w:p>
      <w:pPr>
        <w:pStyle w:val="BodyText2"/>
        <w:ind w:firstLine="720" w:end="0"/>
        <w:rPr/>
      </w:pPr>
      <w:r>
        <w:rPr>
          <w:rFonts w:eastAsia="Arial"/>
        </w:rPr>
        <w:t xml:space="preserve">  </w:t>
      </w:r>
      <w:r>
        <w:rPr/>
        <w:t xml:space="preserve">Attention:  Manager – Energy Trading.............................................................................  </w:t>
      </w:r>
    </w:p>
    <w:p>
      <w:pPr>
        <w:pStyle w:val="Normal"/>
        <w:ind w:start="-360" w:end="0"/>
        <w:jc w:val="both"/>
        <w:rPr>
          <w:sz w:val="20"/>
        </w:rPr>
      </w:pPr>
      <w:r>
        <w:rPr>
          <w:sz w:val="20"/>
        </w:rPr>
      </w:r>
    </w:p>
    <w:p>
      <w:pPr>
        <w:pStyle w:val="BodyText2"/>
        <w:ind w:firstLine="720" w:end="0"/>
        <w:rPr/>
      </w:pPr>
      <w:r>
        <w:rPr>
          <w:rFonts w:eastAsia="Arial"/>
        </w:rPr>
        <w:t xml:space="preserve">  </w:t>
      </w:r>
      <w:r>
        <w:rPr/>
        <w:t>Facsimile No: 607/771-0798.........................Telephone No: 607/762-8894....................</w:t>
      </w:r>
    </w:p>
    <w:p>
      <w:pPr>
        <w:pStyle w:val="Normal"/>
        <w:ind w:start="-360" w:end="0"/>
        <w:jc w:val="both"/>
        <w:rPr>
          <w:sz w:val="20"/>
        </w:rPr>
      </w:pPr>
      <w:r>
        <w:rPr>
          <w:sz w:val="20"/>
        </w:rPr>
      </w:r>
    </w:p>
    <w:p>
      <w:pPr>
        <w:pStyle w:val="BodyText2"/>
        <w:ind w:end="0"/>
        <w:rPr/>
      </w:pPr>
      <w:r>
        <w:rPr/>
        <w:t xml:space="preserve">Address for notices or communications to Party B: </w:t>
      </w:r>
    </w:p>
    <w:p>
      <w:pPr>
        <w:pStyle w:val="Normal"/>
        <w:ind w:start="-360" w:end="0"/>
        <w:jc w:val="both"/>
        <w:rPr>
          <w:b/>
          <w:sz w:val="20"/>
        </w:rPr>
      </w:pPr>
      <w:r>
        <w:rPr>
          <w:b/>
          <w:sz w:val="20"/>
        </w:rPr>
      </w:r>
    </w:p>
    <w:p>
      <w:pPr>
        <w:pStyle w:val="BodyText2"/>
        <w:ind w:end="0"/>
        <w:rPr/>
      </w:pPr>
      <w:r>
        <w:rPr/>
        <w:t>Address:......................................................................................................................................</w:t>
      </w:r>
    </w:p>
    <w:p>
      <w:pPr>
        <w:pStyle w:val="Normal"/>
        <w:ind w:start="-360" w:end="0"/>
        <w:jc w:val="both"/>
        <w:rPr>
          <w:sz w:val="20"/>
        </w:rPr>
      </w:pPr>
      <w:r>
        <w:rPr>
          <w:sz w:val="20"/>
        </w:rPr>
        <w:tab/>
        <w:tab/>
        <w:t xml:space="preserve"> ......................................................................................................................................</w:t>
      </w:r>
    </w:p>
    <w:p>
      <w:pPr>
        <w:pStyle w:val="Normal"/>
        <w:ind w:start="-360" w:end="0"/>
        <w:jc w:val="both"/>
        <w:rPr>
          <w:sz w:val="20"/>
        </w:rPr>
      </w:pPr>
      <w:r>
        <w:rPr>
          <w:sz w:val="20"/>
        </w:rPr>
        <w:tab/>
        <w:tab/>
        <w:t xml:space="preserve"> ......................................................................................................................................</w:t>
      </w:r>
    </w:p>
    <w:p>
      <w:pPr>
        <w:pStyle w:val="BodyText2"/>
        <w:ind w:end="0"/>
        <w:rPr/>
      </w:pPr>
      <w:r>
        <w:rPr/>
        <w:t>Attention:.....................................................................................................................................</w:t>
      </w:r>
    </w:p>
    <w:p>
      <w:pPr>
        <w:pStyle w:val="BodyText2"/>
        <w:ind w:end="0"/>
        <w:rPr/>
      </w:pPr>
      <w:r>
        <w:rPr/>
      </w:r>
    </w:p>
    <w:p>
      <w:pPr>
        <w:pStyle w:val="BodyText2"/>
        <w:ind w:end="0"/>
        <w:rPr/>
      </w:pPr>
      <w:r>
        <w:rPr/>
        <w:t>Facsimile No:................................................Telephone No.:......................................................</w:t>
      </w:r>
    </w:p>
    <w:p>
      <w:pPr>
        <w:pStyle w:val="Normal"/>
        <w:jc w:val="both"/>
        <w:rPr>
          <w:sz w:val="20"/>
        </w:rPr>
      </w:pPr>
      <w:r>
        <w:rPr>
          <w:sz w:val="20"/>
        </w:rPr>
      </w:r>
    </w:p>
    <w:p>
      <w:pPr>
        <w:pStyle w:val="Normal"/>
        <w:numPr>
          <w:ilvl w:val="0"/>
          <w:numId w:val="3"/>
        </w:numPr>
        <w:ind w:hanging="0" w:start="0" w:end="0"/>
        <w:jc w:val="both"/>
        <w:rPr>
          <w:sz w:val="20"/>
        </w:rPr>
      </w:pPr>
      <w:r>
        <w:rPr>
          <w:b/>
          <w:i/>
          <w:sz w:val="20"/>
        </w:rPr>
        <w:t>Notices</w:t>
      </w:r>
      <w:r>
        <w:rPr>
          <w:b/>
          <w:sz w:val="20"/>
        </w:rPr>
        <w:t xml:space="preserve">.  </w:t>
      </w:r>
      <w:r>
        <w:rPr>
          <w:sz w:val="20"/>
        </w:rPr>
        <w:t>Subparagraph (ii) of Section 12(a) of this Agreement shall not apply.</w:t>
      </w:r>
    </w:p>
    <w:p>
      <w:pPr>
        <w:pStyle w:val="Normal"/>
        <w:ind w:start="-720" w:end="0"/>
        <w:jc w:val="both"/>
        <w:rPr>
          <w:sz w:val="20"/>
        </w:rPr>
      </w:pPr>
      <w:r>
        <w:rPr>
          <w:sz w:val="20"/>
        </w:rPr>
      </w:r>
    </w:p>
    <w:p>
      <w:pPr>
        <w:pStyle w:val="Normal"/>
        <w:numPr>
          <w:ilvl w:val="0"/>
          <w:numId w:val="3"/>
        </w:numPr>
        <w:ind w:hanging="0" w:start="0" w:end="0"/>
        <w:jc w:val="both"/>
        <w:rPr>
          <w:sz w:val="20"/>
        </w:rPr>
      </w:pPr>
      <w:r>
        <w:rPr>
          <w:b/>
          <w:i/>
          <w:sz w:val="20"/>
        </w:rPr>
        <w:t>Process Agent</w:t>
      </w:r>
      <w:r>
        <w:rPr>
          <w:sz w:val="20"/>
        </w:rPr>
        <w:t>.  For the purpose of Section 13(c) of this Agreement:-</w:t>
      </w:r>
    </w:p>
    <w:p>
      <w:pPr>
        <w:pStyle w:val="Normal"/>
        <w:jc w:val="both"/>
        <w:rPr>
          <w:sz w:val="20"/>
        </w:rPr>
      </w:pPr>
      <w:r>
        <w:rPr>
          <w:sz w:val="20"/>
        </w:rPr>
      </w:r>
    </w:p>
    <w:p>
      <w:pPr>
        <w:pStyle w:val="BodyText2"/>
        <w:ind w:end="0"/>
        <w:rPr/>
      </w:pPr>
      <w:r>
        <w:rPr/>
        <w:t>Party A appoints as its Process Agent:  Not Applicable...............................................................</w:t>
      </w:r>
    </w:p>
    <w:p>
      <w:pPr>
        <w:pStyle w:val="Normal"/>
        <w:ind w:start="-360" w:end="0"/>
        <w:jc w:val="both"/>
        <w:rPr>
          <w:sz w:val="20"/>
        </w:rPr>
      </w:pPr>
      <w:r>
        <w:rPr>
          <w:sz w:val="20"/>
        </w:rPr>
      </w:r>
    </w:p>
    <w:p>
      <w:pPr>
        <w:pStyle w:val="BodyText2"/>
        <w:ind w:end="0"/>
        <w:rPr/>
      </w:pPr>
      <w:r>
        <w:rPr/>
        <w:t>Party B appoints as its Process Agent:  Not Applicable...............................................................</w:t>
      </w:r>
    </w:p>
    <w:p>
      <w:pPr>
        <w:pStyle w:val="Normal"/>
        <w:ind w:start="-360" w:end="0"/>
        <w:jc w:val="both"/>
        <w:rPr>
          <w:sz w:val="20"/>
        </w:rPr>
      </w:pPr>
      <w:r>
        <w:rPr>
          <w:sz w:val="20"/>
        </w:rPr>
      </w:r>
    </w:p>
    <w:p>
      <w:pPr>
        <w:pStyle w:val="Normal"/>
        <w:numPr>
          <w:ilvl w:val="0"/>
          <w:numId w:val="7"/>
        </w:numPr>
        <w:ind w:hanging="0" w:start="0" w:end="0"/>
        <w:jc w:val="both"/>
        <w:rPr>
          <w:sz w:val="20"/>
        </w:rPr>
      </w:pPr>
      <w:r>
        <w:rPr>
          <w:b/>
          <w:i/>
          <w:sz w:val="20"/>
        </w:rPr>
        <w:t>Offices</w:t>
      </w:r>
      <w:r>
        <w:rPr>
          <w:b/>
          <w:sz w:val="20"/>
        </w:rPr>
        <w:t>.</w:t>
      </w:r>
      <w:r>
        <w:rPr>
          <w:sz w:val="20"/>
        </w:rPr>
        <w:t xml:space="preserve">  The provisions of Section 10(a) will not apply to this Agreement.</w:t>
      </w:r>
    </w:p>
    <w:p>
      <w:pPr>
        <w:pStyle w:val="Normal"/>
        <w:numPr>
          <w:ilvl w:val="0"/>
          <w:numId w:val="0"/>
        </w:numPr>
        <w:ind w:hanging="0" w:start="-720" w:end="0"/>
        <w:jc w:val="both"/>
        <w:rPr>
          <w:sz w:val="20"/>
        </w:rPr>
      </w:pPr>
      <w:r>
        <w:rPr>
          <w:sz w:val="20"/>
        </w:rPr>
      </w:r>
    </w:p>
    <w:p>
      <w:pPr>
        <w:pStyle w:val="Normal"/>
        <w:numPr>
          <w:ilvl w:val="0"/>
          <w:numId w:val="7"/>
        </w:numPr>
        <w:ind w:hanging="0" w:start="0" w:end="0"/>
        <w:jc w:val="both"/>
        <w:rPr>
          <w:sz w:val="20"/>
        </w:rPr>
      </w:pPr>
      <w:r>
        <w:rPr>
          <w:b/>
          <w:i/>
          <w:sz w:val="20"/>
        </w:rPr>
        <w:t>Multibranch Party</w:t>
      </w:r>
      <w:r>
        <w:rPr>
          <w:sz w:val="20"/>
        </w:rPr>
        <w:t>.  For the purpose of Section 10(c) of this Agreement:-</w:t>
      </w:r>
    </w:p>
    <w:p>
      <w:pPr>
        <w:pStyle w:val="Normal"/>
        <w:ind w:start="-720" w:end="0"/>
        <w:jc w:val="both"/>
        <w:rPr>
          <w:sz w:val="20"/>
        </w:rPr>
      </w:pPr>
      <w:r>
        <w:rPr>
          <w:sz w:val="20"/>
        </w:rPr>
      </w:r>
    </w:p>
    <w:p>
      <w:pPr>
        <w:pStyle w:val="Normal"/>
        <w:ind w:firstLine="720" w:end="0"/>
        <w:jc w:val="both"/>
        <w:rPr>
          <w:sz w:val="20"/>
        </w:rPr>
      </w:pPr>
      <w:r>
        <w:rPr>
          <w:sz w:val="20"/>
        </w:rPr>
        <w:t xml:space="preserve">Party A is not  a Multibranch Party. </w:t>
        <w:tab/>
      </w:r>
    </w:p>
    <w:p>
      <w:pPr>
        <w:pStyle w:val="Normal"/>
        <w:ind w:firstLine="360" w:start="-720" w:end="0"/>
        <w:jc w:val="both"/>
        <w:rPr>
          <w:sz w:val="20"/>
        </w:rPr>
      </w:pPr>
      <w:r>
        <w:rPr>
          <w:sz w:val="20"/>
        </w:rPr>
      </w:r>
    </w:p>
    <w:p>
      <w:pPr>
        <w:pStyle w:val="Normal"/>
        <w:ind w:firstLine="720" w:end="0"/>
        <w:jc w:val="both"/>
        <w:rPr>
          <w:sz w:val="20"/>
        </w:rPr>
      </w:pPr>
      <w:r>
        <w:rPr>
          <w:sz w:val="20"/>
        </w:rPr>
        <w:t xml:space="preserve">Party B is not  a Multibranch Party.  </w:t>
      </w:r>
    </w:p>
    <w:p>
      <w:pPr>
        <w:pStyle w:val="Normal"/>
        <w:jc w:val="both"/>
        <w:rPr>
          <w:sz w:val="20"/>
        </w:rPr>
      </w:pPr>
      <w:r>
        <w:rPr>
          <w:sz w:val="20"/>
        </w:rPr>
      </w:r>
    </w:p>
    <w:p>
      <w:pPr>
        <w:pStyle w:val="Normal"/>
        <w:numPr>
          <w:ilvl w:val="0"/>
          <w:numId w:val="5"/>
        </w:numPr>
        <w:spacing w:lineRule="auto" w:line="480"/>
        <w:ind w:hanging="0" w:start="0" w:end="0"/>
        <w:jc w:val="both"/>
        <w:rPr>
          <w:sz w:val="20"/>
        </w:rPr>
      </w:pPr>
      <w:r>
        <w:rPr>
          <w:b/>
          <w:i/>
          <w:sz w:val="20"/>
        </w:rPr>
        <w:t>Calculation Agent</w:t>
      </w:r>
      <w:r>
        <w:rPr>
          <w:sz w:val="20"/>
        </w:rPr>
        <w:t>.  The Calculation Agent is Party A, unless otherwise specified in a Confirmation in relation to the relevant Transaction.</w:t>
      </w:r>
    </w:p>
    <w:p>
      <w:pPr>
        <w:pStyle w:val="Normal"/>
        <w:numPr>
          <w:ilvl w:val="0"/>
          <w:numId w:val="5"/>
        </w:numPr>
        <w:spacing w:lineRule="auto" w:line="480"/>
        <w:ind w:hanging="0" w:start="0" w:end="0"/>
        <w:jc w:val="both"/>
        <w:rPr>
          <w:sz w:val="20"/>
        </w:rPr>
      </w:pPr>
      <w:r>
        <w:rPr>
          <w:b/>
          <w:i/>
          <w:sz w:val="20"/>
        </w:rPr>
        <w:t>Credit Support Document</w:t>
      </w:r>
      <w:r>
        <w:rPr>
          <w:b/>
          <w:sz w:val="20"/>
        </w:rPr>
        <w:t>.</w:t>
      </w:r>
      <w:r>
        <w:rPr>
          <w:sz w:val="20"/>
        </w:rPr>
        <w:t xml:space="preserve">  Details of any Credit Support Document:  </w:t>
      </w:r>
    </w:p>
    <w:p>
      <w:pPr>
        <w:pStyle w:val="BodyText3"/>
        <w:spacing w:lineRule="auto" w:line="480"/>
        <w:rPr/>
      </w:pPr>
      <w:r>
        <w:rPr/>
        <w:t>Includes each of the following documents which are incorporated herein by reference and the terms of which are made a part hereof:</w:t>
      </w:r>
    </w:p>
    <w:p>
      <w:pPr>
        <w:pStyle w:val="BodyTextIndent2"/>
        <w:numPr>
          <w:ilvl w:val="0"/>
          <w:numId w:val="8"/>
        </w:numPr>
        <w:spacing w:lineRule="auto" w:line="360"/>
        <w:ind w:hanging="360" w:start="1080" w:end="0"/>
        <w:rPr/>
      </w:pPr>
      <w:r>
        <w:rPr/>
        <w:t xml:space="preserve">ISDA credit support annex with respect to Party A and Party B </w:t>
      </w:r>
    </w:p>
    <w:p>
      <w:pPr>
        <w:pStyle w:val="BodyTextIndent2"/>
        <w:spacing w:lineRule="auto" w:line="360"/>
        <w:ind w:firstLine="1080" w:start="-360" w:end="0"/>
        <w:rPr/>
      </w:pPr>
      <w:r>
        <w:rPr/>
        <w:t>(ii)   Credit Support  Provider Guaranty for Party B as provided by Party A.</w:t>
      </w:r>
    </w:p>
    <w:p>
      <w:pPr>
        <w:pStyle w:val="Normal"/>
        <w:numPr>
          <w:ilvl w:val="0"/>
          <w:numId w:val="6"/>
        </w:numPr>
        <w:tabs>
          <w:tab w:val="left" w:pos="720" w:leader="none"/>
        </w:tabs>
        <w:spacing w:lineRule="auto" w:line="360"/>
        <w:ind w:hanging="360" w:start="720" w:end="0"/>
        <w:jc w:val="both"/>
        <w:rPr>
          <w:sz w:val="20"/>
        </w:rPr>
      </w:pPr>
      <w:r>
        <w:rPr>
          <w:sz w:val="20"/>
        </w:rPr>
        <w:t>(iii)   Letters of Credit</w:t>
      </w:r>
    </w:p>
    <w:p>
      <w:pPr>
        <w:pStyle w:val="Normal"/>
        <w:spacing w:lineRule="auto" w:line="360"/>
        <w:ind w:firstLine="1080" w:start="-360" w:end="0"/>
        <w:jc w:val="both"/>
        <w:rPr>
          <w:sz w:val="20"/>
        </w:rPr>
      </w:pPr>
      <w:r>
        <w:rPr>
          <w:sz w:val="20"/>
        </w:rPr>
        <w:t>(iv)  Surety Bonds</w:t>
      </w:r>
    </w:p>
    <w:p>
      <w:pPr>
        <w:pStyle w:val="Normal"/>
        <w:ind w:firstLine="1080" w:start="-360" w:end="0"/>
        <w:jc w:val="both"/>
        <w:rPr>
          <w:sz w:val="20"/>
        </w:rPr>
      </w:pPr>
      <w:r>
        <w:rPr>
          <w:sz w:val="20"/>
        </w:rPr>
      </w:r>
    </w:p>
    <w:p>
      <w:pPr>
        <w:pStyle w:val="Normal"/>
        <w:numPr>
          <w:ilvl w:val="0"/>
          <w:numId w:val="5"/>
        </w:numPr>
        <w:ind w:hanging="0" w:start="0" w:end="0"/>
        <w:jc w:val="both"/>
        <w:rPr>
          <w:sz w:val="20"/>
        </w:rPr>
      </w:pPr>
      <w:r>
        <w:rPr>
          <w:b/>
          <w:i/>
          <w:sz w:val="20"/>
        </w:rPr>
        <w:t>Credit Support Provider</w:t>
      </w:r>
      <w:r>
        <w:rPr>
          <w:sz w:val="20"/>
        </w:rPr>
        <w:t>.  Credit Support Provider means in relation to Party A:  Not Applicable</w:t>
      </w:r>
    </w:p>
    <w:p>
      <w:pPr>
        <w:pStyle w:val="Normal"/>
        <w:ind w:start="-720" w:end="0"/>
        <w:jc w:val="both"/>
        <w:rPr>
          <w:sz w:val="20"/>
        </w:rPr>
      </w:pPr>
      <w:r>
        <w:rPr>
          <w:sz w:val="20"/>
        </w:rPr>
      </w:r>
    </w:p>
    <w:p>
      <w:pPr>
        <w:pStyle w:val="BodyText2"/>
        <w:spacing w:lineRule="auto" w:line="480"/>
        <w:ind w:end="0"/>
        <w:rPr/>
      </w:pPr>
      <w:r>
        <w:rPr/>
        <w:t xml:space="preserve">Credit Support Provider means in relation to Party B:  </w:t>
      </w:r>
      <w:r>
        <w:rPr>
          <w:b/>
          <w:i/>
        </w:rPr>
        <w:t>Insert name of parent if guaranty or bank issuing Letter of Credit or Surety Bond company.</w:t>
      </w:r>
    </w:p>
    <w:p>
      <w:pPr>
        <w:pStyle w:val="Normal"/>
        <w:ind w:start="-360" w:end="0"/>
        <w:jc w:val="both"/>
        <w:rPr>
          <w:b/>
          <w:i/>
          <w:i/>
          <w:sz w:val="20"/>
        </w:rPr>
      </w:pPr>
      <w:r>
        <w:rPr>
          <w:b/>
          <w:i/>
          <w:sz w:val="20"/>
        </w:rPr>
      </w:r>
    </w:p>
    <w:p>
      <w:pPr>
        <w:pStyle w:val="Normal"/>
        <w:numPr>
          <w:ilvl w:val="0"/>
          <w:numId w:val="11"/>
        </w:numPr>
        <w:spacing w:lineRule="auto" w:line="480"/>
        <w:ind w:hanging="0" w:start="0" w:end="0"/>
        <w:jc w:val="both"/>
        <w:rPr>
          <w:sz w:val="20"/>
        </w:rPr>
      </w:pPr>
      <w:r>
        <w:rPr>
          <w:b/>
          <w:i/>
          <w:sz w:val="20"/>
        </w:rPr>
        <w:t>Governing Law</w:t>
      </w:r>
      <w:r>
        <w:rPr>
          <w:sz w:val="20"/>
        </w:rPr>
        <w:t>.  This Agreement will be governed by and construed in accordance with the laws of the State of New York without reference to choice of law doctrine.</w:t>
      </w:r>
    </w:p>
    <w:p>
      <w:pPr>
        <w:pStyle w:val="Normal"/>
        <w:jc w:val="both"/>
        <w:rPr>
          <w:sz w:val="20"/>
        </w:rPr>
      </w:pPr>
      <w:r>
        <w:rPr>
          <w:sz w:val="20"/>
        </w:rPr>
      </w:r>
    </w:p>
    <w:p>
      <w:pPr>
        <w:pStyle w:val="Normal"/>
        <w:numPr>
          <w:ilvl w:val="0"/>
          <w:numId w:val="11"/>
        </w:numPr>
        <w:spacing w:lineRule="auto" w:line="480"/>
        <w:ind w:hanging="0" w:start="0" w:end="0"/>
        <w:jc w:val="both"/>
        <w:rPr>
          <w:sz w:val="20"/>
        </w:rPr>
      </w:pPr>
      <w:r>
        <w:rPr>
          <w:b/>
          <w:i/>
          <w:sz w:val="20"/>
        </w:rPr>
        <w:t>Netting of Payments</w:t>
      </w:r>
      <w:r>
        <w:rPr>
          <w:sz w:val="20"/>
        </w:rPr>
        <w:t xml:space="preserve">.  Subparagraph (ii) of Section 2(c) of this Agreement will not apply. </w:t>
      </w:r>
    </w:p>
    <w:p>
      <w:pPr>
        <w:pStyle w:val="Normal"/>
        <w:spacing w:lineRule="auto" w:line="360"/>
        <w:jc w:val="both"/>
        <w:rPr/>
      </w:pPr>
      <w:r>
        <w:rPr>
          <w:sz w:val="20"/>
        </w:rPr>
        <w:t>(j)</w:t>
      </w:r>
      <w:r>
        <w:rPr>
          <w:b/>
          <w:sz w:val="20"/>
        </w:rPr>
        <w:t xml:space="preserve">  </w:t>
      </w:r>
      <w:r>
        <w:rPr>
          <w:b/>
          <w:i/>
          <w:sz w:val="20"/>
        </w:rPr>
        <w:t>“Affiliate”</w:t>
      </w:r>
      <w:r>
        <w:rPr>
          <w:sz w:val="20"/>
        </w:rPr>
        <w:t xml:space="preserve"> will have the meaning specified in Section 14 of this Agreement.</w:t>
      </w:r>
    </w:p>
    <w:p>
      <w:pPr>
        <w:pStyle w:val="Normal"/>
        <w:jc w:val="both"/>
        <w:rPr>
          <w:b/>
          <w:sz w:val="20"/>
        </w:rPr>
      </w:pPr>
      <w:r>
        <w:rPr>
          <w:b/>
          <w:sz w:val="20"/>
        </w:rPr>
      </w:r>
    </w:p>
    <w:p>
      <w:pPr>
        <w:pStyle w:val="Normal"/>
        <w:jc w:val="both"/>
        <w:rPr>
          <w:b/>
          <w:sz w:val="20"/>
        </w:rPr>
      </w:pPr>
      <w:r>
        <w:rPr>
          <w:b/>
          <w:sz w:val="20"/>
        </w:rPr>
      </w:r>
    </w:p>
    <w:p>
      <w:pPr>
        <w:pStyle w:val="Normal"/>
        <w:spacing w:lineRule="auto" w:line="360"/>
        <w:jc w:val="both"/>
        <w:rPr/>
      </w:pPr>
      <w:r>
        <w:rPr>
          <w:sz w:val="20"/>
        </w:rPr>
        <w:t>Part 5.</w:t>
      </w:r>
      <w:r>
        <w:rPr>
          <w:b/>
          <w:sz w:val="20"/>
        </w:rPr>
        <w:t xml:space="preserve">  Other Provisions.</w:t>
      </w:r>
    </w:p>
    <w:p>
      <w:pPr>
        <w:pStyle w:val="Normal"/>
        <w:spacing w:lineRule="auto" w:line="480"/>
        <w:jc w:val="both"/>
        <w:rPr/>
      </w:pPr>
      <w:r>
        <w:rPr>
          <w:sz w:val="20"/>
        </w:rPr>
        <w:t>(a)</w:t>
        <w:tab/>
      </w:r>
      <w:r>
        <w:rPr>
          <w:b/>
          <w:i/>
          <w:sz w:val="20"/>
        </w:rPr>
        <w:t>Fully Paid Transactions</w:t>
      </w:r>
      <w:r>
        <w:rPr>
          <w:sz w:val="20"/>
        </w:rPr>
        <w:t>.  Notwithstanding the terms of Section 5 and 6 of this Agreement, if at any time and so long as one of the parties to this Agreement (“X”) shall have satisfied in full all of its payment and delivery obligations under Section 2(a)(i) of this Agreement and shall at the time have no future payment or delivery obligations, whether absolute or contingent, under such Section, then unless the other party (“Y”) is required pursuant to appropriate proceedings to return to X or otherwise returns to X upon demand of X any portion of such payment or delivery, then (a) the occurrence of an event described in Section 5(a) of this Agreement with respect to X, any Credit Support provider of X or any Specified Entity of X shall not constitute an Event or Default or a Potential Event of Default with respect to X as the Defaulting Party and (b) Y shall be entitled to designate an Early Termination Date pursuant to Section 6 of this Agreement only as a result of the occurrence of a Termination Event set forth in (A) either Section 5(b)(i) or 5(b)(ii) of this Agreement with respect to Y as the Affected Party or (B) Section 5(b)(iii) of this Agreement with respect to Y as the Burdened Party.</w:t>
      </w:r>
    </w:p>
    <w:p>
      <w:pPr>
        <w:pStyle w:val="Normal"/>
        <w:jc w:val="both"/>
        <w:rPr>
          <w:sz w:val="20"/>
        </w:rPr>
      </w:pPr>
      <w:r>
        <w:rPr>
          <w:sz w:val="20"/>
        </w:rPr>
      </w:r>
    </w:p>
    <w:p>
      <w:pPr>
        <w:pStyle w:val="Normal"/>
        <w:numPr>
          <w:ilvl w:val="0"/>
          <w:numId w:val="10"/>
        </w:numPr>
        <w:spacing w:lineRule="auto" w:line="480"/>
        <w:ind w:hanging="0" w:start="0" w:end="0"/>
        <w:jc w:val="both"/>
        <w:rPr>
          <w:sz w:val="20"/>
        </w:rPr>
      </w:pPr>
      <w:r>
        <w:rPr>
          <w:rFonts w:eastAsia="Arial"/>
          <w:b/>
          <w:i/>
          <w:sz w:val="20"/>
        </w:rPr>
        <w:t xml:space="preserve">     </w:t>
      </w:r>
      <w:r>
        <w:rPr>
          <w:b/>
          <w:i/>
          <w:sz w:val="20"/>
        </w:rPr>
        <w:t>Additional Representations</w:t>
      </w:r>
      <w:r>
        <w:rPr>
          <w:b/>
          <w:sz w:val="20"/>
        </w:rPr>
        <w:t xml:space="preserve">.  </w:t>
      </w:r>
      <w:r>
        <w:rPr>
          <w:sz w:val="20"/>
        </w:rPr>
        <w:t>Section 3 of the Agreement is hereby amended by adding at the end thereof the following subsections (g) and (h):</w:t>
      </w:r>
    </w:p>
    <w:p>
      <w:pPr>
        <w:pStyle w:val="Normal"/>
        <w:numPr>
          <w:ilvl w:val="0"/>
          <w:numId w:val="15"/>
        </w:numPr>
        <w:spacing w:lineRule="auto" w:line="360"/>
        <w:ind w:hanging="360" w:start="1080" w:end="0"/>
        <w:jc w:val="both"/>
        <w:rPr>
          <w:sz w:val="20"/>
        </w:rPr>
      </w:pPr>
      <w:r>
        <w:rPr>
          <w:b/>
          <w:sz w:val="20"/>
        </w:rPr>
        <w:t>Eligible Swap Participant.</w:t>
      </w:r>
      <w:r>
        <w:rPr>
          <w:sz w:val="20"/>
        </w:rPr>
        <w:t xml:space="preserve"> It is an “eligible swap participant” within the meaning of 17 C.F.R. Section 35.1 (b)(2).</w:t>
      </w:r>
    </w:p>
    <w:p>
      <w:pPr>
        <w:pStyle w:val="Normal"/>
        <w:numPr>
          <w:ilvl w:val="0"/>
          <w:numId w:val="15"/>
        </w:numPr>
        <w:spacing w:lineRule="auto" w:line="360"/>
        <w:ind w:hanging="360" w:start="1080" w:end="0"/>
        <w:jc w:val="both"/>
        <w:rPr>
          <w:sz w:val="20"/>
        </w:rPr>
      </w:pPr>
      <w:r>
        <w:rPr>
          <w:b/>
          <w:sz w:val="20"/>
        </w:rPr>
        <w:t>Commodity Options.</w:t>
      </w:r>
      <w:r>
        <w:rPr>
          <w:sz w:val="20"/>
        </w:rPr>
        <w:t xml:space="preserve">  With respect to Transactions involving commodity options, it is a producer, processor or commercial user of, or merchant handling, the commodity which is the subject of the commodity option Transaction, or the products or byproducts thereof, and that it enters into the commodity option Transaction solely for purposes related to its business as such.</w:t>
      </w:r>
    </w:p>
    <w:p>
      <w:pPr>
        <w:pStyle w:val="Normal"/>
        <w:spacing w:lineRule="auto" w:line="360"/>
        <w:jc w:val="both"/>
        <w:rPr>
          <w:sz w:val="20"/>
        </w:rPr>
      </w:pPr>
      <w:r>
        <w:rPr>
          <w:sz w:val="20"/>
        </w:rPr>
      </w:r>
    </w:p>
    <w:p>
      <w:pPr>
        <w:pStyle w:val="Normal"/>
        <w:numPr>
          <w:ilvl w:val="0"/>
          <w:numId w:val="10"/>
        </w:numPr>
        <w:spacing w:lineRule="auto" w:line="480"/>
        <w:ind w:hanging="0" w:start="0" w:end="0"/>
        <w:jc w:val="both"/>
        <w:rPr>
          <w:sz w:val="20"/>
        </w:rPr>
      </w:pPr>
      <w:r>
        <w:rPr>
          <w:b/>
          <w:i/>
          <w:sz w:val="20"/>
        </w:rPr>
        <w:t>Set Off</w:t>
      </w:r>
      <w:r>
        <w:rPr>
          <w:b/>
          <w:sz w:val="20"/>
        </w:rPr>
        <w:t xml:space="preserve">.  </w:t>
      </w:r>
      <w:r>
        <w:rPr>
          <w:sz w:val="20"/>
        </w:rPr>
        <w:t>Without affecting the provisions of this Agreement requiring the calculation of certain net payment amounts, all payments under this Agreement will be made without set off or counterclaim except as provided herein.  Upon the designation or deemed designation of any Early Termination Date as a result of an Event of Default in addition to and not in limitation of any other right or remedy (including any right to set off, counterclaim, or otherwise withhold payment) under applicable law:</w:t>
      </w:r>
    </w:p>
    <w:p>
      <w:pPr>
        <w:pStyle w:val="BodyTextIndent3"/>
        <w:rPr/>
      </w:pPr>
      <w:r>
        <w:rPr/>
        <w:t>The Non-defaulting Party, at its option and without prior notice to the Defaulting Party or any Credit Support Provider thereof, may set off any sum or obligation, whether matured or unmatured, owed by the Defaulting Party or any Credit Support Provider thereof to the Non-defaulting Party against any sum or obligation, whether matured or unmatured, (the “Original Obligation”) owed by the Non-defaulting Party to the Defaulting Party or any Credit Support Provider thereof, and, for this purpose, may convert one currency into another.</w:t>
      </w:r>
    </w:p>
    <w:p>
      <w:pPr>
        <w:pStyle w:val="Normal"/>
        <w:spacing w:lineRule="auto" w:line="360"/>
        <w:ind w:start="720" w:end="0"/>
        <w:jc w:val="both"/>
        <w:rPr>
          <w:sz w:val="20"/>
        </w:rPr>
      </w:pPr>
      <w:r>
        <w:rPr>
          <w:sz w:val="20"/>
        </w:rPr>
      </w:r>
    </w:p>
    <w:p>
      <w:pPr>
        <w:pStyle w:val="BodyTextIndent3"/>
        <w:rPr/>
      </w:pPr>
      <w:r>
        <w:rPr/>
        <w:t>Any such set off shall automatically satisfy and discharge the Original Obligation to the Defaulting Party or its Credit Support Provider and, if the Original Obligation exceeds the sum or obligation to be set off against, the Original Obligation shall be novated and replaced by an obligation to pay the Defaulting Party and its Credit Support Provider only the excess of the Original Obligation over such sum or obligation.  Any obligation of the Non-defaulting Party to make any payment to a Defaulting Party and any Credit Support Provider thereof hereunder shall in any event to be conditioned upon and shall arise only upon the date of the payment (by set off, by cash payment or otherwise) in full by the Defaulting Party and its Credit Support Provider of all obligations then due and owning by the Defaulting Party and its Credit Support Provider to the Non-defaulting Party.</w:t>
      </w:r>
    </w:p>
    <w:p>
      <w:pPr>
        <w:pStyle w:val="Normal"/>
        <w:spacing w:lineRule="auto" w:line="360"/>
        <w:ind w:start="720" w:end="0"/>
        <w:jc w:val="both"/>
        <w:rPr>
          <w:sz w:val="20"/>
        </w:rPr>
      </w:pPr>
      <w:r>
        <w:rPr>
          <w:sz w:val="20"/>
        </w:rPr>
      </w:r>
    </w:p>
    <w:p>
      <w:pPr>
        <w:pStyle w:val="BodyTextIndent3"/>
        <w:rPr/>
      </w:pPr>
      <w:r>
        <w:rPr/>
        <w:t>For purposes of the foregoing, the Non-defaulting party may (I) estimate in good faith any sum or obligation that is unascertained and set off in respect of that estimate, subject to accounting to the Defaulting Party when such sum or obligation is ascertained and (ii) convert any obligation denominated in one currency into another at such rates of exchange as it deems appropriate in good faith and in a commercially reasonable manner.</w:t>
      </w:r>
    </w:p>
    <w:p>
      <w:pPr>
        <w:pStyle w:val="BodyTextIndent3"/>
        <w:rPr/>
      </w:pPr>
      <w:r>
        <w:rPr/>
      </w:r>
    </w:p>
    <w:p>
      <w:pPr>
        <w:pStyle w:val="BodyTextIndent3"/>
        <w:rPr/>
      </w:pPr>
      <w:r>
        <w:rPr/>
        <w:t>Nothing in this paragraph will have the effect of creating a charge or other security interest.  This paragraph shall be without prejudice and in addition to any right of set off, combination of accounts, lien or other right to which any Party is at any time otherwise entitled (whether by operation of law, contract or otherwise).</w:t>
      </w:r>
    </w:p>
    <w:p>
      <w:pPr>
        <w:pStyle w:val="BodyTextIndent3"/>
        <w:spacing w:lineRule="auto" w:line="240"/>
        <w:rPr/>
      </w:pPr>
      <w:r>
        <w:rPr/>
      </w:r>
    </w:p>
    <w:p>
      <w:pPr>
        <w:pStyle w:val="Normal"/>
        <w:numPr>
          <w:ilvl w:val="0"/>
          <w:numId w:val="10"/>
        </w:numPr>
        <w:spacing w:lineRule="auto" w:line="480"/>
        <w:ind w:hanging="0" w:start="0" w:end="0"/>
        <w:jc w:val="both"/>
        <w:rPr>
          <w:sz w:val="20"/>
        </w:rPr>
      </w:pPr>
      <w:r>
        <w:rPr>
          <w:b/>
          <w:i/>
          <w:sz w:val="20"/>
        </w:rPr>
        <w:t>Confirmations</w:t>
      </w:r>
      <w:r>
        <w:rPr>
          <w:b/>
          <w:sz w:val="20"/>
        </w:rPr>
        <w:t xml:space="preserve">.  </w:t>
      </w:r>
      <w:r>
        <w:rPr>
          <w:sz w:val="20"/>
        </w:rPr>
        <w:t>With respect to each Transaction entered into pursuant to this Agreement, Party A will promptly send to Party B a Confirmation in substantially the form of the Exhibits to the 1991 ISDA Definitions (the “Swap Definitions”) (the 1998 Supplement to the 1991 ISDA Definitions) and the 1993 ISDA Commodity Derivative Definitions as supplemented by the 2000 Supplement to the 1993 ISDA Commodity Derivatives Definitions (the “Commodity Definitions”), as published by the International Swaps and Derivatives Association, Inc.  Party B will within three (3) New York Business Days after receipt of such Confirmation, confirm the accuracy of or request the correction of any of the provisions or terms of such Confirmation (in the latter case, indicating how it believes the terms of such Confirmation should be correctly stated and such other terms that should be added to or deleted from such Confirmation to make it correct).  Notwithstanding the foregoing, failure to notify Party A of such a disagreement within such three (3) New York Business day period shall be deemed to be a consent to such Confirmation as so written.</w:t>
      </w:r>
    </w:p>
    <w:p>
      <w:pPr>
        <w:pStyle w:val="Normal"/>
        <w:jc w:val="both"/>
        <w:rPr>
          <w:sz w:val="20"/>
        </w:rPr>
      </w:pPr>
      <w:r>
        <w:rPr>
          <w:sz w:val="20"/>
        </w:rPr>
      </w:r>
    </w:p>
    <w:p>
      <w:pPr>
        <w:pStyle w:val="Normal"/>
        <w:numPr>
          <w:ilvl w:val="0"/>
          <w:numId w:val="10"/>
        </w:numPr>
        <w:spacing w:lineRule="auto" w:line="480"/>
        <w:ind w:hanging="0" w:start="0" w:end="0"/>
        <w:jc w:val="both"/>
        <w:rPr>
          <w:sz w:val="20"/>
        </w:rPr>
      </w:pPr>
      <w:r>
        <w:rPr>
          <w:b/>
          <w:i/>
          <w:sz w:val="20"/>
        </w:rPr>
        <w:t>Interpretation</w:t>
      </w:r>
      <w:r>
        <w:rPr>
          <w:b/>
          <w:sz w:val="20"/>
        </w:rPr>
        <w:t>.</w:t>
      </w:r>
      <w:r>
        <w:rPr>
          <w:sz w:val="20"/>
        </w:rPr>
        <w:t xml:space="preserve">  Unless otherwise specified in a Confirmation, this Agreement, the Credit Support Documents, if any, each Confirmation and each Transaction are subject to the “Swap Definitions” and the “Commodity Definitions,” as amended, supplemented, updated and superseded from time to time, each as published by the International Swaps and Derivatives Association, Inc. (collectively, the “ISDA Definitions”).  In the event of any inconsistency between the provisions of the Swap Definitions and the Commodity Definitions, the Commodity Definitions will prevail.  In the event of any inconsistency between the provisions of this Agreement and the ISDA Definitions, this Agreement will prevail. In the event of any inconsistency between the provisions of the Credit Support Documents, if any, and the ISDA Definitions, the Credit Support Documents will prevail.  Subject to Section 1(b), in the event of any inconsistency between the provisions of any Confirmation and this Agreement or the ISDA Definitions, the Confirmation will prevail for the purpose of the relevant Transaction.</w:t>
      </w:r>
    </w:p>
    <w:p>
      <w:pPr>
        <w:pStyle w:val="Normal"/>
        <w:jc w:val="both"/>
        <w:rPr>
          <w:sz w:val="20"/>
        </w:rPr>
      </w:pPr>
      <w:r>
        <w:rPr>
          <w:sz w:val="20"/>
        </w:rPr>
      </w:r>
    </w:p>
    <w:p>
      <w:pPr>
        <w:pStyle w:val="Normal"/>
        <w:numPr>
          <w:ilvl w:val="0"/>
          <w:numId w:val="10"/>
        </w:numPr>
        <w:spacing w:lineRule="auto" w:line="480"/>
        <w:ind w:hanging="0" w:start="0" w:end="0"/>
        <w:jc w:val="both"/>
        <w:rPr>
          <w:sz w:val="20"/>
        </w:rPr>
      </w:pPr>
      <w:r>
        <w:rPr>
          <w:b/>
          <w:i/>
          <w:sz w:val="20"/>
        </w:rPr>
        <w:t>Severability</w:t>
      </w:r>
      <w:r>
        <w:rPr>
          <w:b/>
          <w:sz w:val="20"/>
        </w:rPr>
        <w:t>.</w:t>
      </w:r>
      <w:r>
        <w:rPr>
          <w:sz w:val="20"/>
        </w:rPr>
        <w:t xml:space="preserve">  Any provision of this Agreement which is prohibited or unenforceable in any jurisdiction in respect of any Transaction shall, as to such Transaction, be ineffective to the extent of such prohibition or unenforceability without invalidating the remaining provisions of the Agreement or affecting the validity or enforceability of such provision as to any other jurisdiction or Transaction unless such severance shall substantially impair the benefits of the remaining portions of this Agreement or changes the reciprocal obligations of the parties.  The parties hereto shall endeavor in good faith negotiations to replace the prohibited or unenforceable provision with a valid provision, the economic effect of which comes as close as possible to that of the prohibited or unenforceable provision.</w:t>
      </w:r>
    </w:p>
    <w:p>
      <w:pPr>
        <w:pStyle w:val="Normal"/>
        <w:jc w:val="both"/>
        <w:rPr>
          <w:sz w:val="20"/>
        </w:rPr>
      </w:pPr>
      <w:r>
        <w:rPr>
          <w:sz w:val="20"/>
        </w:rPr>
      </w:r>
    </w:p>
    <w:p>
      <w:pPr>
        <w:pStyle w:val="Normal"/>
        <w:numPr>
          <w:ilvl w:val="0"/>
          <w:numId w:val="10"/>
        </w:numPr>
        <w:spacing w:lineRule="auto" w:line="480"/>
        <w:ind w:hanging="0" w:start="0" w:end="0"/>
        <w:jc w:val="both"/>
        <w:rPr>
          <w:sz w:val="20"/>
        </w:rPr>
      </w:pPr>
      <w:r>
        <w:rPr>
          <w:b/>
          <w:i/>
          <w:sz w:val="20"/>
        </w:rPr>
        <w:t>Consent to Recordings</w:t>
      </w:r>
      <w:r>
        <w:rPr>
          <w:b/>
          <w:sz w:val="20"/>
        </w:rPr>
        <w:t>.</w:t>
      </w:r>
      <w:r>
        <w:rPr>
          <w:sz w:val="20"/>
        </w:rPr>
        <w:t xml:space="preserve">  The parties hereto (i) agree that each may electronically monitor or record, at any time and from time to time, and all communications between them, (ii) waive any further notice of such monitoring or recording, (iii) agree to notify its officers and employees of such monitoring or recording and to obtain their consents to such monitoring or recording if required under applicable law, and (iv) agree that any such monitoring or recording may be submitted into evidence in any suit, trial hearing, arbitration, or other proceeding.</w:t>
      </w:r>
    </w:p>
    <w:p>
      <w:pPr>
        <w:pStyle w:val="Normal"/>
        <w:jc w:val="both"/>
        <w:rPr>
          <w:sz w:val="20"/>
        </w:rPr>
      </w:pPr>
      <w:r>
        <w:rPr>
          <w:sz w:val="20"/>
        </w:rPr>
      </w:r>
    </w:p>
    <w:p>
      <w:pPr>
        <w:pStyle w:val="Normal"/>
        <w:numPr>
          <w:ilvl w:val="0"/>
          <w:numId w:val="10"/>
        </w:numPr>
        <w:spacing w:lineRule="auto" w:line="480"/>
        <w:ind w:hanging="0" w:start="0" w:end="0"/>
        <w:jc w:val="both"/>
        <w:rPr>
          <w:sz w:val="20"/>
        </w:rPr>
      </w:pPr>
      <w:r>
        <w:rPr>
          <w:b/>
          <w:i/>
          <w:sz w:val="20"/>
        </w:rPr>
        <w:t>WAVIER OF JURY TRIAL</w:t>
      </w:r>
      <w:r>
        <w:rPr>
          <w:b/>
          <w:sz w:val="20"/>
        </w:rPr>
        <w:t>.  TO THE FULLEST EXTENT PERMITTED BY LAW, EACH OF THE PARTIES HERETO WAIVES ANY RIGHT IT MAY HAVE TO TRIAL BY JURY IN RESPECT OF ANY LITIGATION DIRECTLY OR INDIRECTLY ARISING OUT OF, UNDER, OR IN CONNECTION WITH THIS AGREEMENT.</w:t>
      </w:r>
    </w:p>
    <w:p>
      <w:pPr>
        <w:pStyle w:val="Normal"/>
        <w:jc w:val="both"/>
        <w:rPr>
          <w:sz w:val="20"/>
        </w:rPr>
      </w:pPr>
      <w:r>
        <w:rPr>
          <w:sz w:val="20"/>
        </w:rPr>
      </w:r>
    </w:p>
    <w:p>
      <w:pPr>
        <w:pStyle w:val="Normal"/>
        <w:numPr>
          <w:ilvl w:val="0"/>
          <w:numId w:val="10"/>
        </w:numPr>
        <w:spacing w:lineRule="auto" w:line="480"/>
        <w:ind w:hanging="0" w:start="0" w:end="0"/>
        <w:jc w:val="both"/>
        <w:rPr>
          <w:sz w:val="20"/>
        </w:rPr>
      </w:pPr>
      <w:r>
        <w:rPr>
          <w:b/>
          <w:i/>
          <w:sz w:val="20"/>
        </w:rPr>
        <w:t>LIMITATION ON LIABILITY</w:t>
      </w:r>
      <w:r>
        <w:rPr>
          <w:b/>
          <w:sz w:val="20"/>
        </w:rPr>
        <w:t>.  NO PARTY SHALL BE REQUIRED TO PAY OR BE LIABLE FOR SPECIAL, PUNITIVE, EXEMPLARY, INCIDENTAL, CONSEQUENTIAL, OR INDIRECT DAMAGES (WHETHER OR NOT ARISING FROM ITS NEGLIGENCE) TO ANY OTHER PARTY; PROVIDED, HOWEVER THAT NOTHING IN THIS PROVISION SHALL AFFECT THE ENFORCEABILITY OF SECTION 6(e) OF THIS AGREEMENT.  IF AND TO THE EXTENT ANY PAYMENT REQUIRED TO BE MADE PURSUANT TO THIS AGREEMENT IS DETERMINED TO CONSTITUTE LIQUIDATED DAMAGES, THE PARTIES ACKNOWLEDGE AND AGREE THAT SUCH DAMAGES ARE DIFFICULT OR IMPOSSIBLE TO DETERMINE AND THAT SUCH PAYMENT IS INTENDED TO BE A REASONABLE APPROXIMATION OF THE AMOUNT OF SUCH DAMAGES AND NOT A PENALTY</w:t>
      </w:r>
      <w:r>
        <w:rPr>
          <w:sz w:val="20"/>
        </w:rPr>
        <w:t>.</w:t>
      </w:r>
    </w:p>
    <w:p>
      <w:pPr>
        <w:pStyle w:val="Normal"/>
        <w:jc w:val="both"/>
        <w:rPr>
          <w:sz w:val="20"/>
        </w:rPr>
      </w:pPr>
      <w:r>
        <w:rPr>
          <w:sz w:val="20"/>
        </w:rPr>
      </w:r>
    </w:p>
    <w:p>
      <w:pPr>
        <w:pStyle w:val="Normal"/>
        <w:spacing w:lineRule="auto" w:line="480"/>
        <w:jc w:val="both"/>
        <w:rPr/>
      </w:pPr>
      <w:r>
        <w:rPr>
          <w:sz w:val="20"/>
        </w:rPr>
        <w:t xml:space="preserve">Part 6.  </w:t>
      </w:r>
      <w:r>
        <w:rPr>
          <w:b/>
          <w:sz w:val="20"/>
        </w:rPr>
        <w:t>Provisions for Commodity Derivative Transactions.</w:t>
      </w:r>
    </w:p>
    <w:p>
      <w:pPr>
        <w:pStyle w:val="Normal"/>
        <w:spacing w:lineRule="auto" w:line="480"/>
        <w:jc w:val="both"/>
        <w:rPr/>
      </w:pPr>
      <w:r>
        <w:rPr>
          <w:sz w:val="20"/>
        </w:rPr>
        <w:t xml:space="preserve">(a)  The </w:t>
      </w:r>
      <w:r>
        <w:rPr>
          <w:b/>
          <w:i/>
          <w:sz w:val="20"/>
        </w:rPr>
        <w:t>“Market Disruption Events”</w:t>
      </w:r>
      <w:r>
        <w:rPr>
          <w:sz w:val="20"/>
        </w:rPr>
        <w:t xml:space="preserve"> specified in Section 7.4(d)(i) of the Commodity Definitions shall apply, except as otherwise specifically provided in the Confirmation.</w:t>
      </w:r>
    </w:p>
    <w:p>
      <w:pPr>
        <w:pStyle w:val="Normal"/>
        <w:numPr>
          <w:ilvl w:val="0"/>
          <w:numId w:val="16"/>
        </w:numPr>
        <w:spacing w:lineRule="auto" w:line="480"/>
        <w:ind w:firstLine="360" w:start="360" w:end="0"/>
        <w:jc w:val="both"/>
        <w:rPr>
          <w:b/>
          <w:sz w:val="20"/>
        </w:rPr>
      </w:pPr>
      <w:r>
        <w:rPr>
          <w:b/>
          <w:i/>
          <w:sz w:val="20"/>
        </w:rPr>
        <w:t>“</w:t>
      </w:r>
      <w:r>
        <w:rPr>
          <w:b/>
          <w:i/>
          <w:sz w:val="20"/>
        </w:rPr>
        <w:t>Additional Market Disruption Events”</w:t>
      </w:r>
      <w:r>
        <w:rPr>
          <w:b/>
          <w:sz w:val="20"/>
        </w:rPr>
        <w:t xml:space="preserve"> </w:t>
      </w:r>
      <w:r>
        <w:rPr>
          <w:sz w:val="20"/>
        </w:rPr>
        <w:t>shall apply if so specified in the Confirmation.</w:t>
      </w:r>
    </w:p>
    <w:p>
      <w:pPr>
        <w:pStyle w:val="Normal"/>
        <w:numPr>
          <w:ilvl w:val="0"/>
          <w:numId w:val="16"/>
        </w:numPr>
        <w:spacing w:lineRule="auto" w:line="480"/>
        <w:ind w:hanging="0" w:start="0" w:end="0"/>
        <w:jc w:val="both"/>
        <w:rPr>
          <w:sz w:val="20"/>
        </w:rPr>
      </w:pPr>
      <w:r>
        <w:rPr>
          <w:sz w:val="20"/>
        </w:rPr>
        <w:t xml:space="preserve">The following </w:t>
      </w:r>
      <w:r>
        <w:rPr>
          <w:b/>
          <w:i/>
          <w:sz w:val="20"/>
        </w:rPr>
        <w:t>“Disruption Fallbacks”</w:t>
      </w:r>
      <w:r>
        <w:rPr>
          <w:sz w:val="20"/>
        </w:rPr>
        <w:t xml:space="preserve"> specified in Section 7.5(c) of the Commodity Definitions shall apply, in the following order, except as otherwise specifically provided in the Confirmation:</w:t>
      </w:r>
    </w:p>
    <w:p>
      <w:pPr>
        <w:pStyle w:val="Normal"/>
        <w:spacing w:lineRule="auto" w:line="480"/>
        <w:ind w:start="720" w:end="0"/>
        <w:jc w:val="both"/>
        <w:rPr>
          <w:b/>
          <w:sz w:val="20"/>
        </w:rPr>
      </w:pPr>
      <w:r>
        <w:rPr>
          <w:sz w:val="20"/>
        </w:rPr>
        <w:t xml:space="preserve">(i)  </w:t>
      </w:r>
      <w:r>
        <w:rPr>
          <w:b/>
          <w:sz w:val="20"/>
        </w:rPr>
        <w:t xml:space="preserve">“Negotiated Fallback”, </w:t>
      </w:r>
      <w:r>
        <w:rPr>
          <w:sz w:val="20"/>
        </w:rPr>
        <w:t>provided that references to the fifth Business Day shall be to the first Business Day;</w:t>
      </w:r>
    </w:p>
    <w:p>
      <w:pPr>
        <w:pStyle w:val="Normal"/>
        <w:spacing w:lineRule="auto" w:line="480"/>
        <w:ind w:start="720" w:end="0"/>
        <w:jc w:val="both"/>
        <w:rPr/>
      </w:pPr>
      <w:r>
        <w:rPr>
          <w:sz w:val="20"/>
        </w:rPr>
        <w:t xml:space="preserve">(ii)  </w:t>
      </w:r>
      <w:r>
        <w:rPr>
          <w:b/>
          <w:sz w:val="20"/>
        </w:rPr>
        <w:t>“Fallback Reference Price”</w:t>
      </w:r>
      <w:r>
        <w:rPr>
          <w:sz w:val="20"/>
        </w:rPr>
        <w:t>;</w:t>
      </w:r>
    </w:p>
    <w:p>
      <w:pPr>
        <w:pStyle w:val="Normal"/>
        <w:spacing w:lineRule="auto" w:line="360"/>
        <w:ind w:start="720" w:end="0"/>
        <w:jc w:val="both"/>
        <w:rPr>
          <w:sz w:val="20"/>
        </w:rPr>
      </w:pPr>
      <w:r>
        <w:rPr>
          <w:sz w:val="20"/>
        </w:rPr>
        <w:t xml:space="preserve">(iii)  </w:t>
      </w:r>
      <w:r>
        <w:rPr>
          <w:b/>
          <w:sz w:val="20"/>
        </w:rPr>
        <w:t>“No Fault Termination”.</w:t>
      </w:r>
    </w:p>
    <w:p>
      <w:pPr>
        <w:pStyle w:val="Normal"/>
        <w:spacing w:lineRule="auto" w:line="360"/>
        <w:ind w:start="720" w:end="0"/>
        <w:jc w:val="both"/>
        <w:rPr>
          <w:sz w:val="20"/>
        </w:rPr>
      </w:pPr>
      <w:r>
        <w:rPr>
          <w:sz w:val="20"/>
        </w:rPr>
      </w:r>
    </w:p>
    <w:p>
      <w:pPr>
        <w:pStyle w:val="Normal"/>
        <w:spacing w:lineRule="auto" w:line="480"/>
        <w:jc w:val="both"/>
        <w:rPr/>
      </w:pPr>
      <w:r>
        <w:rPr>
          <w:b/>
          <w:sz w:val="20"/>
        </w:rPr>
        <w:t>IN WITNESS WHEREOF</w:t>
      </w:r>
      <w:r>
        <w:rPr>
          <w:sz w:val="20"/>
        </w:rPr>
        <w:t>, the parties have executed this Schedule by their duly authorized officers as of the date hereof.</w:t>
      </w:r>
    </w:p>
    <w:p>
      <w:pPr>
        <w:pStyle w:val="Normal"/>
        <w:spacing w:lineRule="auto" w:line="360"/>
        <w:ind w:start="720" w:end="0"/>
        <w:jc w:val="both"/>
        <w:rPr>
          <w:sz w:val="20"/>
        </w:rPr>
      </w:pPr>
      <w:r>
        <w:rPr>
          <w:sz w:val="20"/>
        </w:rPr>
      </w:r>
    </w:p>
    <w:p>
      <w:pPr>
        <w:pStyle w:val="Normal"/>
        <w:spacing w:lineRule="auto" w:line="360"/>
        <w:ind w:start="720" w:end="0"/>
        <w:jc w:val="both"/>
        <w:rPr/>
      </w:pPr>
      <w:r>
        <w:rPr>
          <w:sz w:val="20"/>
        </w:rPr>
        <w:tab/>
        <w:tab/>
        <w:tab/>
        <w:tab/>
      </w:r>
      <w:r>
        <w:rPr>
          <w:b/>
          <w:sz w:val="20"/>
        </w:rPr>
        <w:t>NEW YORK STATE ELECTRIC &amp; GAS CORPORATION</w:t>
      </w:r>
    </w:p>
    <w:p>
      <w:pPr>
        <w:pStyle w:val="Normal"/>
        <w:spacing w:lineRule="auto" w:line="360"/>
        <w:ind w:start="720" w:end="0"/>
        <w:jc w:val="both"/>
        <w:rPr>
          <w:b/>
          <w:sz w:val="20"/>
        </w:rPr>
      </w:pPr>
      <w:r>
        <w:rPr>
          <w:b/>
          <w:sz w:val="20"/>
        </w:rPr>
      </w:r>
    </w:p>
    <w:p>
      <w:pPr>
        <w:pStyle w:val="Normal"/>
        <w:spacing w:lineRule="auto" w:line="360"/>
        <w:ind w:start="720" w:end="0"/>
        <w:jc w:val="both"/>
        <w:rPr>
          <w:b/>
          <w:sz w:val="20"/>
        </w:rPr>
      </w:pPr>
      <w:r>
        <w:rPr>
          <w:b/>
          <w:sz w:val="20"/>
        </w:rPr>
      </w:r>
    </w:p>
    <w:p>
      <w:pPr>
        <w:pStyle w:val="Normal"/>
        <w:spacing w:lineRule="auto" w:line="360"/>
        <w:ind w:start="720" w:end="0"/>
        <w:jc w:val="both"/>
        <w:rPr/>
      </w:pPr>
      <w:r>
        <w:rPr>
          <w:sz w:val="20"/>
        </w:rPr>
        <w:tab/>
        <w:tab/>
        <w:tab/>
        <w:tab/>
        <w:t>By:</w:t>
      </w:r>
      <w:r>
        <w:rPr>
          <w:b/>
          <w:sz w:val="20"/>
        </w:rPr>
        <w:t xml:space="preserve"> ___________________________________________</w:t>
      </w:r>
    </w:p>
    <w:p>
      <w:pPr>
        <w:pStyle w:val="Normal"/>
        <w:ind w:start="720" w:end="0"/>
        <w:jc w:val="both"/>
        <w:rPr/>
      </w:pPr>
      <w:r>
        <w:rPr>
          <w:b/>
          <w:sz w:val="20"/>
        </w:rPr>
        <w:tab/>
        <w:tab/>
        <w:tab/>
        <w:tab/>
      </w:r>
      <w:r>
        <w:rPr>
          <w:sz w:val="20"/>
        </w:rPr>
        <w:t xml:space="preserve">Denis E. Wickham – Senior Vice President </w:t>
      </w:r>
    </w:p>
    <w:p>
      <w:pPr>
        <w:pStyle w:val="Normal"/>
        <w:ind w:start="5040" w:end="0"/>
        <w:jc w:val="both"/>
        <w:rPr>
          <w:sz w:val="20"/>
        </w:rPr>
      </w:pPr>
      <w:r>
        <w:rPr>
          <w:rFonts w:eastAsia="Arial"/>
          <w:sz w:val="20"/>
        </w:rPr>
        <w:t xml:space="preserve">        </w:t>
      </w:r>
      <w:r>
        <w:rPr>
          <w:sz w:val="20"/>
        </w:rPr>
        <w:t>Energy Operating Services</w:t>
      </w:r>
    </w:p>
    <w:p>
      <w:pPr>
        <w:pStyle w:val="Normal"/>
        <w:spacing w:lineRule="auto" w:line="360"/>
        <w:ind w:start="720" w:end="0"/>
        <w:jc w:val="both"/>
        <w:rPr>
          <w:sz w:val="20"/>
        </w:rPr>
      </w:pPr>
      <w:r>
        <w:rPr>
          <w:sz w:val="20"/>
        </w:rPr>
      </w:r>
    </w:p>
    <w:p>
      <w:pPr>
        <w:pStyle w:val="Normal"/>
        <w:spacing w:lineRule="auto" w:line="360"/>
        <w:ind w:start="720" w:end="0"/>
        <w:jc w:val="both"/>
        <w:rPr>
          <w:sz w:val="20"/>
        </w:rPr>
      </w:pPr>
      <w:r>
        <w:rPr>
          <w:sz w:val="20"/>
        </w:rPr>
      </w:r>
    </w:p>
    <w:p>
      <w:pPr>
        <w:pStyle w:val="Normal"/>
        <w:spacing w:lineRule="auto" w:line="360"/>
        <w:ind w:start="720" w:end="0"/>
        <w:jc w:val="both"/>
        <w:rPr/>
      </w:pPr>
      <w:r>
        <w:rPr>
          <w:sz w:val="20"/>
        </w:rPr>
        <w:tab/>
        <w:tab/>
        <w:tab/>
        <w:tab/>
      </w:r>
      <w:r>
        <w:rPr>
          <w:b/>
          <w:sz w:val="20"/>
        </w:rPr>
        <w:t>(COUNTERPARTY)</w:t>
      </w:r>
    </w:p>
    <w:p>
      <w:pPr>
        <w:pStyle w:val="Normal"/>
        <w:spacing w:lineRule="auto" w:line="360"/>
        <w:ind w:start="720" w:end="0"/>
        <w:jc w:val="both"/>
        <w:rPr>
          <w:b/>
          <w:sz w:val="20"/>
        </w:rPr>
      </w:pPr>
      <w:r>
        <w:rPr>
          <w:b/>
          <w:sz w:val="20"/>
        </w:rPr>
      </w:r>
    </w:p>
    <w:p>
      <w:pPr>
        <w:pStyle w:val="Normal"/>
        <w:spacing w:lineRule="auto" w:line="360"/>
        <w:ind w:start="720" w:end="0"/>
        <w:jc w:val="both"/>
        <w:rPr/>
      </w:pPr>
      <w:r>
        <w:rPr>
          <w:b/>
          <w:sz w:val="20"/>
        </w:rPr>
        <w:tab/>
        <w:tab/>
        <w:tab/>
        <w:tab/>
      </w:r>
      <w:r>
        <w:rPr>
          <w:sz w:val="20"/>
        </w:rPr>
        <w:t>By:  __________________________________________</w:t>
      </w:r>
    </w:p>
    <w:p>
      <w:pPr>
        <w:pStyle w:val="Normal"/>
        <w:spacing w:lineRule="auto" w:line="360"/>
        <w:ind w:start="720" w:end="0"/>
        <w:jc w:val="both"/>
        <w:rPr>
          <w:sz w:val="20"/>
        </w:rPr>
      </w:pPr>
      <w:r>
        <w:rPr>
          <w:sz w:val="20"/>
        </w:rPr>
        <w:tab/>
        <w:tab/>
        <w:tab/>
        <w:tab/>
        <w:t>Name: ________________________________________</w:t>
      </w:r>
    </w:p>
    <w:p>
      <w:pPr>
        <w:pStyle w:val="Normal"/>
        <w:spacing w:lineRule="auto" w:line="360"/>
        <w:ind w:start="720" w:end="0"/>
        <w:jc w:val="both"/>
        <w:rPr>
          <w:sz w:val="20"/>
        </w:rPr>
      </w:pPr>
      <w:r>
        <w:rPr>
          <w:sz w:val="20"/>
        </w:rPr>
        <w:tab/>
        <w:tab/>
        <w:tab/>
        <w:tab/>
        <w:t>Title: _________________________________________</w:t>
      </w:r>
    </w:p>
    <w:p>
      <w:pPr>
        <w:pStyle w:val="Normal"/>
        <w:spacing w:lineRule="auto" w:line="360"/>
        <w:ind w:start="720" w:end="0"/>
        <w:jc w:val="both"/>
        <w:rPr>
          <w:sz w:val="20"/>
        </w:rPr>
      </w:pPr>
      <w:r>
        <w:rPr>
          <w:sz w:val="20"/>
        </w:rPr>
      </w:r>
    </w:p>
    <w:p>
      <w:pPr>
        <w:pStyle w:val="Normal"/>
        <w:spacing w:lineRule="auto" w:line="360"/>
        <w:ind w:start="720" w:end="0"/>
        <w:jc w:val="both"/>
        <w:rPr>
          <w:sz w:val="20"/>
        </w:rPr>
      </w:pPr>
      <w:r>
        <w:rPr>
          <w:sz w:val="20"/>
        </w:rPr>
        <w:t>__________________________</w:t>
      </w:r>
    </w:p>
    <w:p>
      <w:pPr>
        <w:pStyle w:val="Normal"/>
        <w:numPr>
          <w:ilvl w:val="0"/>
          <w:numId w:val="17"/>
        </w:numPr>
        <w:spacing w:lineRule="auto" w:line="360"/>
        <w:jc w:val="both"/>
        <w:rPr>
          <w:sz w:val="20"/>
        </w:rPr>
      </w:pPr>
      <w:r>
        <w:rPr>
          <w:sz w:val="20"/>
        </w:rPr>
        <w:t>IRS Form 4224 is required if the Counterparty is a foreign entity transacting through a U.S. office or if the Counterparty is a U.S. branch of a foreign entity.  IRS Form 1001 as required if the Counterparty is a foreign entity that is eligible for the benefits of a tax treaty with the U.S.</w:t>
      </w:r>
    </w:p>
    <w:p>
      <w:pPr>
        <w:pStyle w:val="Normal"/>
        <w:spacing w:lineRule="auto" w:line="360"/>
        <w:ind w:start="720" w:end="0"/>
        <w:jc w:val="both"/>
        <w:rPr>
          <w:sz w:val="20"/>
        </w:rPr>
      </w:pPr>
      <w:r>
        <w:rPr>
          <w:sz w:val="20"/>
        </w:rPr>
      </w:r>
    </w:p>
    <w:p>
      <w:pPr>
        <w:pStyle w:val="Normal"/>
        <w:spacing w:lineRule="auto" w:line="360"/>
        <w:ind w:start="720" w:end="0"/>
        <w:jc w:val="both"/>
        <w:rPr>
          <w:sz w:val="20"/>
        </w:rPr>
      </w:pPr>
      <w:r>
        <w:rPr>
          <w:sz w:val="20"/>
        </w:rPr>
      </w:r>
    </w:p>
    <w:p>
      <w:pPr>
        <w:pStyle w:val="Normal"/>
        <w:spacing w:lineRule="auto" w:line="360"/>
        <w:ind w:start="720" w:end="0"/>
        <w:jc w:val="both"/>
        <w:rPr>
          <w:sz w:val="20"/>
        </w:rPr>
      </w:pPr>
      <w:r>
        <w:rPr>
          <w:sz w:val="20"/>
        </w:rPr>
      </w:r>
    </w:p>
    <w:p>
      <w:pPr>
        <w:pStyle w:val="Normal"/>
        <w:spacing w:lineRule="auto" w:line="360"/>
        <w:ind w:start="720" w:end="0"/>
        <w:jc w:val="both"/>
        <w:rPr>
          <w:sz w:val="20"/>
        </w:rPr>
      </w:pPr>
      <w:r>
        <w:rPr>
          <w:sz w:val="20"/>
        </w:rPr>
      </w:r>
    </w:p>
    <w:p>
      <w:pPr>
        <w:pStyle w:val="Normal"/>
        <w:spacing w:lineRule="auto" w:line="360"/>
        <w:ind w:start="720" w:end="0"/>
        <w:jc w:val="both"/>
        <w:rPr>
          <w:sz w:val="20"/>
        </w:rPr>
      </w:pPr>
      <w:r>
        <w:rPr>
          <w:sz w:val="20"/>
        </w:rPr>
      </w:r>
    </w:p>
    <w:p>
      <w:pPr>
        <w:pStyle w:val="Normal"/>
        <w:spacing w:lineRule="auto" w:line="360"/>
        <w:ind w:start="720" w:end="-720"/>
        <w:jc w:val="both"/>
        <w:rPr>
          <w:sz w:val="16"/>
        </w:rPr>
      </w:pPr>
      <w:r>
        <w:rPr>
          <w:sz w:val="16"/>
        </w:rPr>
      </w:r>
    </w:p>
    <w:p>
      <w:pPr>
        <w:pStyle w:val="Normal"/>
        <w:spacing w:lineRule="auto" w:line="360"/>
        <w:ind w:start="720" w:end="-720"/>
        <w:jc w:val="both"/>
        <w:rPr>
          <w:sz w:val="16"/>
        </w:rPr>
      </w:pPr>
      <w:r>
        <w:rPr>
          <w:sz w:val="16"/>
        </w:rPr>
      </w:r>
    </w:p>
    <w:p>
      <w:pPr>
        <w:pStyle w:val="Normal"/>
        <w:spacing w:lineRule="auto" w:line="360"/>
        <w:ind w:start="720" w:end="-720"/>
        <w:jc w:val="both"/>
        <w:rPr>
          <w:sz w:val="16"/>
        </w:rPr>
      </w:pPr>
      <w:r>
        <w:rPr>
          <w:sz w:val="16"/>
        </w:rPr>
      </w:r>
    </w:p>
    <w:p>
      <w:pPr>
        <w:pStyle w:val="Normal"/>
        <w:spacing w:lineRule="auto" w:line="360"/>
        <w:ind w:start="720" w:end="-720"/>
        <w:jc w:val="both"/>
        <w:rPr>
          <w:sz w:val="16"/>
        </w:rPr>
      </w:pPr>
      <w:r>
        <w:rPr>
          <w:sz w:val="16"/>
        </w:rPr>
      </w:r>
    </w:p>
    <w:p>
      <w:pPr>
        <w:pStyle w:val="Normal"/>
        <w:spacing w:lineRule="auto" w:line="360"/>
        <w:ind w:start="720" w:end="-720"/>
        <w:jc w:val="both"/>
        <w:rPr>
          <w:sz w:val="16"/>
        </w:rPr>
      </w:pPr>
      <w:r>
        <w:rPr>
          <w:sz w:val="16"/>
        </w:rPr>
      </w:r>
    </w:p>
    <w:p>
      <w:pPr>
        <w:pStyle w:val="Normal"/>
        <w:spacing w:lineRule="auto" w:line="360"/>
        <w:ind w:start="720" w:end="-720"/>
        <w:jc w:val="both"/>
        <w:rPr>
          <w:sz w:val="16"/>
        </w:rPr>
      </w:pPr>
      <w:r>
        <w:rPr>
          <w:sz w:val="16"/>
        </w:rPr>
      </w:r>
    </w:p>
    <w:p>
      <w:pPr>
        <w:pStyle w:val="Normal"/>
        <w:spacing w:lineRule="auto" w:line="360"/>
        <w:ind w:start="720" w:end="-720"/>
        <w:jc w:val="both"/>
        <w:rPr>
          <w:sz w:val="16"/>
        </w:rPr>
      </w:pPr>
      <w:r>
        <w:rPr>
          <w:sz w:val="16"/>
        </w:rPr>
      </w:r>
    </w:p>
    <w:p>
      <w:pPr>
        <w:pStyle w:val="Normal"/>
        <w:spacing w:lineRule="auto" w:line="360"/>
        <w:ind w:start="720" w:end="-720"/>
        <w:jc w:val="both"/>
        <w:rPr/>
      </w:pPr>
      <w:r>
        <w:rPr>
          <w:sz w:val="12"/>
        </w:rPr>
        <w:fldChar w:fldCharType="begin"/>
      </w:r>
      <w:r>
        <w:rPr>
          <w:sz w:val="12"/>
        </w:rPr>
        <w:instrText xml:space="preserve"> FILENAME \p </w:instrText>
      </w:r>
      <w:r>
        <w:rPr>
          <w:sz w:val="12"/>
        </w:rPr>
        <w:fldChar w:fldCharType="separate"/>
      </w:r>
      <w:r>
        <w:rPr>
          <w:sz w:val="12"/>
        </w:rPr>
        <w:t>/mnt/main-storage/datasets/enron-docs/doc/MSTRnyseg0600.DOC</w:t>
      </w:r>
      <w:r>
        <w:rPr>
          <w:sz w:val="12"/>
        </w:rPr>
        <w:fldChar w:fldCharType="end"/>
      </w:r>
      <w:r>
        <w:rPr>
          <w:sz w:val="16"/>
        </w:rPr>
        <w:tab/>
        <w:tab/>
        <w:tab/>
        <w:tab/>
        <w:tab/>
      </w:r>
      <w:r>
        <w:rPr>
          <w:sz w:val="16"/>
        </w:rPr>
        <w:fldChar w:fldCharType="begin"/>
      </w:r>
      <w:r>
        <w:rPr>
          <w:sz w:val="16"/>
        </w:rPr>
        <w:instrText xml:space="preserve"> DATE \@"M/d/yyyy" </w:instrText>
      </w:r>
      <w:r>
        <w:rPr>
          <w:sz w:val="16"/>
        </w:rPr>
        <w:fldChar w:fldCharType="separate"/>
      </w:r>
      <w:r>
        <w:rPr>
          <w:sz w:val="16"/>
        </w:rPr>
        <w:t>9/28/2025</w:t>
      </w:r>
      <w:r>
        <w:rPr>
          <w:sz w:val="16"/>
        </w:rPr>
        <w:fldChar w:fldCharType="end"/>
      </w:r>
    </w:p>
    <w:sectPr>
      <w:footerReference w:type="default" r:id="rId2"/>
      <w:type w:val="nextPage"/>
      <w:pgSz w:w="12240" w:h="15840"/>
      <w:pgMar w:left="1440" w:right="1440" w:gutter="0" w:header="0" w:top="1440" w:footer="720" w:bottom="1440"/>
      <w:pgNumType w:start="19"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12">
              <wp:simplePos x="0" y="0"/>
              <wp:positionH relativeFrom="margin">
                <wp:align>center</wp:align>
              </wp:positionH>
              <wp:positionV relativeFrom="paragraph">
                <wp:posOffset>635</wp:posOffset>
              </wp:positionV>
              <wp:extent cx="156210" cy="165100"/>
              <wp:effectExtent l="0" t="0" r="0" b="0"/>
              <wp:wrapSquare wrapText="bothSides"/>
              <wp:docPr id="1" name="Frame1"/>
              <a:graphic xmlns:a="http://schemas.openxmlformats.org/drawingml/2006/main">
                <a:graphicData uri="http://schemas.microsoft.com/office/word/2010/wordprocessingShape">
                  <wps:wsp>
                    <wps:cNvSpPr txBox="1"/>
                    <wps:spPr>
                      <a:xfrm>
                        <a:off x="0" y="0"/>
                        <a:ext cx="156210" cy="165100"/>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29</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12.3pt;height:13pt;mso-wrap-distance-left:0pt;mso-wrap-distance-right:0pt;mso-wrap-distance-top:0pt;mso-wrap-distance-bottom:0pt;margin-top:0.05pt;mso-position-vertical-relative:text;margin-left:227.85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29</w:t>
                    </w:r>
                    <w:r>
                      <w:rPr>
                        <w:rStyle w:val="PageNumber"/>
                      </w:rPr>
                      <w:fldChar w:fldCharType="end"/>
                    </w:r>
                  </w:p>
                </w:txbxContent>
              </v:textbox>
              <w10:wrap type="square"/>
            </v:rect>
          </w:pict>
        </mc:Fallback>
      </mc:AlternateConten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5"/>
      <w:numFmt w:val="lowerLetter"/>
      <w:lvlText w:val="(%1) "/>
      <w:lvlJc w:val="start"/>
      <w:pPr>
        <w:tabs>
          <w:tab w:val="num" w:pos="720"/>
        </w:tabs>
        <w:ind w:start="360" w:hanging="360"/>
      </w:pPr>
      <w:rPr>
        <w:sz w:val="20"/>
        <w:i w:val="false"/>
        <w:u w:val="none"/>
        <w:b w:val="false"/>
        <w:rFonts w:ascii="Arial" w:hAnsi="Arial" w:cs="Arial"/>
      </w:rPr>
    </w:lvl>
  </w:abstractNum>
  <w:abstractNum w:abstractNumId="3">
    <w:lvl w:ilvl="0">
      <w:start w:val="2"/>
      <w:numFmt w:val="lowerLetter"/>
      <w:lvlText w:val="(%1) "/>
      <w:lvlJc w:val="start"/>
      <w:pPr>
        <w:tabs>
          <w:tab w:val="num" w:pos="360"/>
        </w:tabs>
        <w:ind w:start="360" w:hanging="360"/>
      </w:pPr>
      <w:rPr>
        <w:sz w:val="20"/>
        <w:i w:val="false"/>
        <w:u w:val="none"/>
        <w:b w:val="false"/>
        <w:rFonts w:ascii="Arial" w:hAnsi="Arial" w:cs="Arial"/>
      </w:rPr>
    </w:lvl>
  </w:abstractNum>
  <w:abstractNum w:abstractNumId="4">
    <w:lvl w:ilvl="0">
      <w:start w:val="1"/>
      <w:numFmt w:val="lowerRoman"/>
      <w:lvlText w:val="(%1) "/>
      <w:lvlJc w:val="start"/>
      <w:pPr>
        <w:tabs>
          <w:tab w:val="num" w:pos="720"/>
        </w:tabs>
        <w:ind w:start="0" w:hanging="360"/>
      </w:pPr>
      <w:rPr>
        <w:sz w:val="20"/>
        <w:i w:val="false"/>
        <w:u w:val="none"/>
        <w:b w:val="false"/>
        <w:rFonts w:ascii="Arial" w:hAnsi="Arial" w:cs="Arial"/>
      </w:rPr>
    </w:lvl>
  </w:abstractNum>
  <w:abstractNum w:abstractNumId="5">
    <w:lvl w:ilvl="0">
      <w:start w:val="5"/>
      <w:numFmt w:val="lowerLetter"/>
      <w:lvlText w:val="(%1) "/>
      <w:lvlJc w:val="start"/>
      <w:pPr>
        <w:tabs>
          <w:tab w:val="num" w:pos="360"/>
        </w:tabs>
        <w:ind w:start="360" w:hanging="360"/>
      </w:pPr>
      <w:rPr>
        <w:sz w:val="20"/>
        <w:i w:val="false"/>
        <w:u w:val="none"/>
        <w:b w:val="false"/>
        <w:rFonts w:ascii="Arial" w:hAnsi="Arial" w:cs="Arial"/>
      </w:rPr>
    </w:lvl>
  </w:abstractNum>
  <w:abstractNum w:abstractNumId="6">
    <w:lvl w:ilvl="0">
      <w:start w:val="2"/>
      <w:numFmt w:val="lowerRoman"/>
      <w:lvlText w:val=""/>
      <w:lvlJc w:val="start"/>
      <w:pPr>
        <w:ind w:start="360" w:hanging="360"/>
      </w:pPr>
      <w:rPr>
        <w:rFonts w:ascii="Wingdings" w:hAnsi="Wingdings" w:cs="Wingdings"/>
      </w:rPr>
    </w:lvl>
  </w:abstractNum>
  <w:abstractNum w:abstractNumId="7">
    <w:lvl w:ilvl="0">
      <w:start w:val="3"/>
      <w:numFmt w:val="lowerLetter"/>
      <w:lvlText w:val="(%1) "/>
      <w:lvlJc w:val="start"/>
      <w:pPr>
        <w:tabs>
          <w:tab w:val="num" w:pos="360"/>
        </w:tabs>
        <w:ind w:start="360" w:hanging="360"/>
      </w:pPr>
      <w:rPr>
        <w:sz w:val="20"/>
        <w:i w:val="false"/>
        <w:u w:val="none"/>
        <w:b w:val="false"/>
        <w:rFonts w:ascii="Arial" w:hAnsi="Arial" w:cs="Arial"/>
      </w:rPr>
    </w:lvl>
  </w:abstractNum>
  <w:abstractNum w:abstractNumId="8">
    <w:lvl w:ilvl="0">
      <w:start w:val="7"/>
      <w:numFmt w:val="lowerLetter"/>
      <w:lvlText w:val="(%1) "/>
      <w:lvlJc w:val="start"/>
      <w:pPr>
        <w:tabs>
          <w:tab w:val="num" w:pos="720"/>
        </w:tabs>
        <w:ind w:start="360" w:hanging="360"/>
      </w:pPr>
      <w:rPr>
        <w:sz w:val="20"/>
        <w:i w:val="false"/>
        <w:u w:val="none"/>
        <w:b w:val="false"/>
        <w:rFonts w:ascii="Arial" w:hAnsi="Arial" w:cs="Arial"/>
      </w:rPr>
    </w:lvl>
  </w:abstractNum>
  <w:abstractNum w:abstractNumId="9">
    <w:lvl w:ilvl="0">
      <w:start w:val="2"/>
      <w:numFmt w:val="lowerLetter"/>
      <w:lvlText w:val="(%1) "/>
      <w:lvlJc w:val="start"/>
      <w:pPr>
        <w:tabs>
          <w:tab w:val="num" w:pos="360"/>
        </w:tabs>
        <w:ind w:start="360" w:hanging="360"/>
      </w:pPr>
      <w:rPr>
        <w:sz w:val="20"/>
        <w:i w:val="false"/>
        <w:u w:val="none"/>
        <w:b w:val="false"/>
        <w:rFonts w:ascii="Arial" w:hAnsi="Arial" w:cs="Arial"/>
      </w:rPr>
    </w:lvl>
  </w:abstractNum>
  <w:abstractNum w:abstractNumId="10">
    <w:lvl w:ilvl="0">
      <w:start w:val="1"/>
      <w:numFmt w:val="lowerLetter"/>
      <w:lvlText w:val="(%1) "/>
      <w:lvlJc w:val="start"/>
      <w:pPr>
        <w:tabs>
          <w:tab w:val="num" w:pos="360"/>
        </w:tabs>
        <w:ind w:start="360" w:hanging="360"/>
      </w:pPr>
      <w:rPr>
        <w:sz w:val="20"/>
        <w:i w:val="false"/>
        <w:u w:val="none"/>
        <w:b w:val="false"/>
        <w:rFonts w:ascii="Arial" w:hAnsi="Arial" w:cs="Arial"/>
      </w:rPr>
    </w:lvl>
  </w:abstractNum>
  <w:abstractNum w:abstractNumId="11">
    <w:lvl w:ilvl="0">
      <w:start w:val="8"/>
      <w:numFmt w:val="lowerLetter"/>
      <w:lvlText w:val="(%1) "/>
      <w:lvlJc w:val="start"/>
      <w:pPr>
        <w:tabs>
          <w:tab w:val="num" w:pos="360"/>
        </w:tabs>
        <w:ind w:start="360" w:hanging="360"/>
      </w:pPr>
      <w:rPr>
        <w:sz w:val="20"/>
        <w:i w:val="false"/>
        <w:u w:val="none"/>
        <w:b w:val="false"/>
        <w:rFonts w:ascii="Arial" w:hAnsi="Arial" w:cs="Arial"/>
      </w:rPr>
    </w:lvl>
  </w:abstractNum>
  <w:abstractNum w:abstractNumId="12">
    <w:lvl w:ilvl="0">
      <w:start w:val="3"/>
      <w:numFmt w:val="lowerLetter"/>
      <w:lvlText w:val="(%1) "/>
      <w:lvlJc w:val="start"/>
      <w:pPr>
        <w:tabs>
          <w:tab w:val="num" w:pos="360"/>
        </w:tabs>
        <w:ind w:start="360" w:hanging="360"/>
      </w:pPr>
      <w:rPr>
        <w:sz w:val="20"/>
        <w:i w:val="false"/>
        <w:u w:val="none"/>
        <w:b w:val="false"/>
        <w:rFonts w:ascii="Arial" w:hAnsi="Arial" w:cs="Arial"/>
      </w:rPr>
    </w:lvl>
  </w:abstractNum>
  <w:abstractNum w:abstractNumId="13">
    <w:lvl w:ilvl="0">
      <w:start w:val="2"/>
      <w:numFmt w:val="lowerLetter"/>
      <w:lvlText w:val="(%1) "/>
      <w:lvlJc w:val="start"/>
      <w:pPr>
        <w:tabs>
          <w:tab w:val="num" w:pos="360"/>
        </w:tabs>
        <w:ind w:start="360" w:hanging="360"/>
      </w:pPr>
      <w:rPr>
        <w:sz w:val="20"/>
        <w:i w:val="false"/>
        <w:u w:val="none"/>
        <w:b w:val="false"/>
        <w:rFonts w:ascii="Arial" w:hAnsi="Arial" w:cs="Arial"/>
      </w:rPr>
    </w:lvl>
  </w:abstractNum>
  <w:abstractNum w:abstractNumId="14">
    <w:lvl w:ilvl="0">
      <w:start w:val="1"/>
      <w:numFmt w:val="lowerLetter"/>
      <w:lvlText w:val="(%1) "/>
      <w:lvlJc w:val="start"/>
      <w:pPr>
        <w:tabs>
          <w:tab w:val="num" w:pos="360"/>
        </w:tabs>
        <w:ind w:start="360" w:hanging="360"/>
      </w:pPr>
      <w:rPr>
        <w:sz w:val="20"/>
        <w:i w:val="false"/>
        <w:u w:val="none"/>
        <w:b w:val="false"/>
        <w:rFonts w:ascii="Arial" w:hAnsi="Arial" w:cs="Arial"/>
      </w:rPr>
    </w:lvl>
  </w:abstractNum>
  <w:abstractNum w:abstractNumId="15">
    <w:lvl w:ilvl="0">
      <w:start w:val="6"/>
      <w:numFmt w:val="lowerLetter"/>
      <w:lvlText w:val="(%1) "/>
      <w:lvlJc w:val="start"/>
      <w:pPr>
        <w:tabs>
          <w:tab w:val="num" w:pos="720"/>
        </w:tabs>
        <w:ind w:start="360" w:hanging="360"/>
      </w:pPr>
      <w:rPr>
        <w:sz w:val="20"/>
        <w:i w:val="false"/>
        <w:u w:val="none"/>
        <w:b w:val="false"/>
        <w:rFonts w:ascii="Arial" w:hAnsi="Arial" w:cs="Arial"/>
      </w:rPr>
    </w:lvl>
  </w:abstractNum>
  <w:abstractNum w:abstractNumId="16">
    <w:lvl w:ilvl="0">
      <w:start w:val="1"/>
      <w:numFmt w:val="lowerLetter"/>
      <w:lvlText w:val="(%1) "/>
      <w:lvlJc w:val="start"/>
      <w:pPr>
        <w:tabs>
          <w:tab w:val="num" w:pos="720"/>
        </w:tabs>
        <w:ind w:start="360" w:hanging="360"/>
      </w:pPr>
      <w:rPr>
        <w:sz w:val="20"/>
        <w:i w:val="false"/>
        <w:u w:val="none"/>
        <w:b w:val="false"/>
        <w:rFonts w:ascii="Arial" w:hAnsi="Arial" w:cs="Arial"/>
      </w:rPr>
    </w:lvl>
  </w:abstractNum>
  <w:abstractNum w:abstractNumId="17">
    <w:lvl w:ilvl="0">
      <w:start w:val="1"/>
      <w:numFmt w:val="decimal"/>
      <w:lvlText w:val="%1"/>
      <w:lvlJc w:val="start"/>
      <w:pPr>
        <w:tabs>
          <w:tab w:val="num" w:pos="1440"/>
        </w:tabs>
        <w:ind w:start="1440" w:hanging="720"/>
      </w:pPr>
      <w:rPr/>
    </w:lvl>
  </w:abstractNum>
  <w:abstractNum w:abstractNumId="18">
    <w:lvl w:ilvl="0">
      <w:start w:val="1"/>
      <w:numFmt w:val="lowerLetter"/>
      <w:lvlText w:val="(%1) "/>
      <w:lvlJc w:val="start"/>
      <w:pPr>
        <w:tabs>
          <w:tab w:val="num" w:pos="360"/>
        </w:tabs>
        <w:ind w:start="360" w:hanging="360"/>
      </w:pPr>
      <w:rPr>
        <w:sz w:val="20"/>
        <w:i w:val="false"/>
        <w:u w:val="none"/>
        <w:b w:val="false"/>
        <w:rFonts w:ascii="Arial" w:hAnsi="Arial" w:cs="Arial"/>
      </w:rPr>
    </w:lvl>
  </w:abstractNum>
  <w:abstractNum w:abstractNumId="19">
    <w:lvl w:ilvl="0">
      <w:start w:val="4"/>
      <w:numFmt w:val="lowerLetter"/>
      <w:lvlText w:val="(%1) "/>
      <w:lvlJc w:val="start"/>
      <w:pPr>
        <w:tabs>
          <w:tab w:val="num" w:pos="720"/>
        </w:tabs>
        <w:ind w:start="360" w:hanging="360"/>
      </w:pPr>
      <w:rPr>
        <w:sz w:val="20"/>
        <w:i w:val="false"/>
        <w:u w:val="none"/>
        <w:b w:val="false"/>
        <w:rFonts w:ascii="Arial" w:hAnsi="Arial" w:cs="Arial"/>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bering>
</file>

<file path=word/settings.xml><?xml version="1.0" encoding="utf-8"?>
<w:settings xmlns:w="http://schemas.openxmlformats.org/wordprocessingml/2006/main">
  <w:zoom w:val="bestFit" w:percent="2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Arial" w:hAnsi="Arial" w:eastAsia="Times New Roman" w:cs="Arial"/>
      <w:color w:val="auto"/>
      <w:sz w:val="22"/>
      <w:szCs w:val="20"/>
      <w:lang w:val="en-US" w:eastAsia="zh-CN" w:bidi="hi-IN"/>
    </w:rPr>
  </w:style>
  <w:style w:type="paragraph" w:styleId="Heading1">
    <w:name w:val="heading 1"/>
    <w:basedOn w:val="Normal"/>
    <w:next w:val="Normal"/>
    <w:qFormat/>
    <w:pPr>
      <w:keepNext w:val="true"/>
      <w:numPr>
        <w:ilvl w:val="0"/>
        <w:numId w:val="1"/>
      </w:numPr>
      <w:ind w:hanging="0" w:start="0" w:end="-720"/>
      <w:outlineLvl w:val="0"/>
    </w:pPr>
    <w:rPr>
      <w:b/>
      <w:sz w:val="20"/>
    </w:rPr>
  </w:style>
  <w:style w:type="character" w:styleId="WW8Num1z0">
    <w:name w:val="WW8Num1z0"/>
    <w:qFormat/>
    <w:rPr>
      <w:rFonts w:ascii="Arial" w:hAnsi="Arial" w:cs="Arial"/>
      <w:b w:val="false"/>
      <w:i w:val="false"/>
      <w:sz w:val="20"/>
      <w:u w:val="none"/>
    </w:rPr>
  </w:style>
  <w:style w:type="character" w:styleId="WW8Num2z0">
    <w:name w:val="WW8Num2z0"/>
    <w:qFormat/>
    <w:rPr>
      <w:rFonts w:ascii="Arial" w:hAnsi="Arial" w:cs="Arial"/>
      <w:b w:val="false"/>
      <w:i w:val="false"/>
      <w:sz w:val="20"/>
      <w:u w:val="none"/>
    </w:rPr>
  </w:style>
  <w:style w:type="character" w:styleId="WW8Num3z0">
    <w:name w:val="WW8Num3z0"/>
    <w:qFormat/>
    <w:rPr>
      <w:rFonts w:ascii="Arial" w:hAnsi="Arial" w:cs="Arial"/>
      <w:b w:val="false"/>
      <w:i w:val="false"/>
      <w:sz w:val="20"/>
      <w:u w:val="none"/>
    </w:rPr>
  </w:style>
  <w:style w:type="character" w:styleId="WW8Num4z0">
    <w:name w:val="WW8Num4z0"/>
    <w:qFormat/>
    <w:rPr>
      <w:rFonts w:ascii="Arial" w:hAnsi="Arial" w:cs="Arial"/>
      <w:b w:val="false"/>
      <w:i w:val="false"/>
      <w:sz w:val="20"/>
      <w:u w:val="none"/>
    </w:rPr>
  </w:style>
  <w:style w:type="character" w:styleId="WW8Num5z0">
    <w:name w:val="WW8Num5z0"/>
    <w:qFormat/>
    <w:rPr>
      <w:rFonts w:ascii="Arial" w:hAnsi="Arial" w:cs="Arial"/>
      <w:b w:val="false"/>
      <w:i w:val="false"/>
      <w:sz w:val="20"/>
      <w:u w:val="none"/>
    </w:rPr>
  </w:style>
  <w:style w:type="character" w:styleId="WW8Num6z0">
    <w:name w:val="WW8Num6z0"/>
    <w:qFormat/>
    <w:rPr>
      <w:rFonts w:ascii="Arial" w:hAnsi="Arial" w:cs="Arial"/>
      <w:b w:val="false"/>
      <w:i w:val="false"/>
      <w:sz w:val="20"/>
      <w:u w:val="none"/>
    </w:rPr>
  </w:style>
  <w:style w:type="character" w:styleId="WW8Num7z0">
    <w:name w:val="WW8Num7z0"/>
    <w:qFormat/>
    <w:rPr>
      <w:rFonts w:ascii="Arial" w:hAnsi="Arial" w:cs="Arial"/>
      <w:b w:val="false"/>
      <w:i w:val="false"/>
      <w:sz w:val="20"/>
      <w:u w:val="none"/>
    </w:rPr>
  </w:style>
  <w:style w:type="character" w:styleId="WW8Num8z0">
    <w:name w:val="WW8Num8z0"/>
    <w:qFormat/>
    <w:rPr>
      <w:rFonts w:ascii="Arial" w:hAnsi="Arial" w:cs="Arial"/>
      <w:b w:val="false"/>
      <w:i w:val="false"/>
      <w:sz w:val="20"/>
      <w:u w:val="none"/>
    </w:rPr>
  </w:style>
  <w:style w:type="character" w:styleId="WW8Num9z0">
    <w:name w:val="WW8Num9z0"/>
    <w:qFormat/>
    <w:rPr>
      <w:rFonts w:ascii="Wingdings" w:hAnsi="Wingdings" w:cs="Wingdings"/>
    </w:rPr>
  </w:style>
  <w:style w:type="character" w:styleId="WW8Num10z0">
    <w:name w:val="WW8Num10z0"/>
    <w:qFormat/>
    <w:rPr>
      <w:rFonts w:ascii="Arial" w:hAnsi="Arial" w:cs="Arial"/>
      <w:b w:val="false"/>
      <w:i w:val="false"/>
      <w:sz w:val="20"/>
      <w:u w:val="none"/>
    </w:rPr>
  </w:style>
  <w:style w:type="character" w:styleId="WW8Num11z0">
    <w:name w:val="WW8Num11z0"/>
    <w:qFormat/>
    <w:rPr>
      <w:rFonts w:ascii="Arial" w:hAnsi="Arial" w:cs="Arial"/>
      <w:b w:val="false"/>
      <w:i w:val="false"/>
      <w:sz w:val="20"/>
      <w:u w:val="none"/>
    </w:rPr>
  </w:style>
  <w:style w:type="character" w:styleId="WW8Num12z0">
    <w:name w:val="WW8Num12z0"/>
    <w:qFormat/>
    <w:rPr>
      <w:rFonts w:ascii="Arial" w:hAnsi="Arial" w:cs="Arial"/>
      <w:b w:val="false"/>
      <w:i w:val="false"/>
      <w:sz w:val="20"/>
      <w:u w:val="none"/>
    </w:rPr>
  </w:style>
  <w:style w:type="character" w:styleId="WW8Num13z0">
    <w:name w:val="WW8Num13z0"/>
    <w:qFormat/>
    <w:rPr>
      <w:b/>
    </w:rPr>
  </w:style>
  <w:style w:type="character" w:styleId="WW8Num14z0">
    <w:name w:val="WW8Num14z0"/>
    <w:qFormat/>
    <w:rPr>
      <w:rFonts w:ascii="Arial" w:hAnsi="Arial" w:cs="Arial"/>
      <w:b w:val="false"/>
      <w:i w:val="false"/>
      <w:sz w:val="20"/>
      <w:u w:val="none"/>
    </w:rPr>
  </w:style>
  <w:style w:type="character" w:styleId="WW8Num15z0">
    <w:name w:val="WW8Num15z0"/>
    <w:qFormat/>
    <w:rPr>
      <w:b/>
    </w:rPr>
  </w:style>
  <w:style w:type="character" w:styleId="WW8Num16z0">
    <w:name w:val="WW8Num16z0"/>
    <w:qFormat/>
    <w:rPr>
      <w:rFonts w:ascii="Arial" w:hAnsi="Arial" w:cs="Arial"/>
      <w:b w:val="false"/>
      <w:i w:val="false"/>
      <w:sz w:val="20"/>
      <w:u w:val="none"/>
    </w:rPr>
  </w:style>
  <w:style w:type="character" w:styleId="WW8Num17z0">
    <w:name w:val="WW8Num17z0"/>
    <w:qFormat/>
    <w:rPr>
      <w:rFonts w:ascii="Arial" w:hAnsi="Arial" w:cs="Arial"/>
      <w:b w:val="false"/>
      <w:i w:val="false"/>
      <w:sz w:val="20"/>
      <w:u w:val="none"/>
    </w:rPr>
  </w:style>
  <w:style w:type="character" w:styleId="WW8Num18z0">
    <w:name w:val="WW8Num18z0"/>
    <w:qFormat/>
    <w:rPr>
      <w:rFonts w:ascii="Arial" w:hAnsi="Arial" w:cs="Arial"/>
      <w:b w:val="false"/>
      <w:i w:val="false"/>
      <w:sz w:val="20"/>
      <w:u w:val="none"/>
    </w:rPr>
  </w:style>
  <w:style w:type="character" w:styleId="WW8Num19z0">
    <w:name w:val="WW8Num19z0"/>
    <w:qFormat/>
    <w:rPr>
      <w:rFonts w:ascii="Arial" w:hAnsi="Arial" w:cs="Arial"/>
      <w:b w:val="false"/>
      <w:i w:val="false"/>
      <w:sz w:val="20"/>
      <w:u w:val="none"/>
    </w:rPr>
  </w:style>
  <w:style w:type="character" w:styleId="WW8Num20z0">
    <w:name w:val="WW8Num20z0"/>
    <w:qFormat/>
    <w:rPr>
      <w:rFonts w:ascii="Arial" w:hAnsi="Arial" w:cs="Arial"/>
      <w:b w:val="false"/>
      <w:i w:val="false"/>
      <w:sz w:val="20"/>
      <w:u w:val="none"/>
    </w:rPr>
  </w:style>
  <w:style w:type="character" w:styleId="WW8Num21z0">
    <w:name w:val="WW8Num21z0"/>
    <w:qFormat/>
    <w:rPr>
      <w:rFonts w:ascii="Arial" w:hAnsi="Arial" w:cs="Arial"/>
      <w:b w:val="false"/>
      <w:i w:val="false"/>
      <w:sz w:val="20"/>
      <w:u w:val="none"/>
    </w:rPr>
  </w:style>
  <w:style w:type="character" w:styleId="WW8Num22z0">
    <w:name w:val="WW8Num22z0"/>
    <w:qFormat/>
    <w:rPr>
      <w:rFonts w:ascii="Arial" w:hAnsi="Arial" w:cs="Arial"/>
      <w:b w:val="false"/>
      <w:i w:val="false"/>
      <w:sz w:val="20"/>
      <w:u w:val="none"/>
    </w:rPr>
  </w:style>
  <w:style w:type="character" w:styleId="WW8Num23z0">
    <w:name w:val="WW8Num23z0"/>
    <w:qFormat/>
    <w:rPr>
      <w:rFonts w:ascii="Arial" w:hAnsi="Arial" w:cs="Arial"/>
      <w:b w:val="false"/>
      <w:i w:val="false"/>
      <w:sz w:val="20"/>
      <w:u w:val="none"/>
    </w:rPr>
  </w:style>
  <w:style w:type="character" w:styleId="WW8Num24z0">
    <w:name w:val="WW8Num24z0"/>
    <w:qFormat/>
    <w:rPr>
      <w:rFonts w:ascii="Arial" w:hAnsi="Arial" w:cs="Arial"/>
      <w:b w:val="false"/>
      <w:i w:val="false"/>
      <w:sz w:val="20"/>
      <w:u w:val="none"/>
    </w:rPr>
  </w:style>
  <w:style w:type="character" w:styleId="WW8Num25z0">
    <w:name w:val="WW8Num25z0"/>
    <w:qFormat/>
    <w:rPr/>
  </w:style>
  <w:style w:type="character" w:styleId="WW8Num26z0">
    <w:name w:val="WW8Num26z0"/>
    <w:qFormat/>
    <w:rPr>
      <w:rFonts w:ascii="Arial" w:hAnsi="Arial" w:cs="Arial"/>
      <w:b w:val="false"/>
      <w:i w:val="false"/>
      <w:sz w:val="20"/>
      <w:u w:val="none"/>
    </w:rPr>
  </w:style>
  <w:style w:type="character" w:styleId="WW8Num27z0">
    <w:name w:val="WW8Num27z0"/>
    <w:qFormat/>
    <w:rPr>
      <w:rFonts w:ascii="Arial" w:hAnsi="Arial" w:cs="Arial"/>
      <w:b w:val="false"/>
      <w:i w:val="false"/>
      <w:sz w:val="20"/>
      <w:u w:val="none"/>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ind w:hanging="0" w:start="0" w:end="-720"/>
    </w:pPr>
    <w:rPr>
      <w:sz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2">
    <w:name w:val="Body Text 2"/>
    <w:basedOn w:val="Normal"/>
    <w:qFormat/>
    <w:pPr>
      <w:ind w:hanging="0" w:start="0" w:end="-720"/>
      <w:jc w:val="both"/>
    </w:pPr>
    <w:rPr>
      <w:sz w:val="20"/>
    </w:rPr>
  </w:style>
  <w:style w:type="paragraph" w:styleId="BodyText3">
    <w:name w:val="Body Text 3"/>
    <w:basedOn w:val="Normal"/>
    <w:qFormat/>
    <w:pPr>
      <w:jc w:val="both"/>
    </w:pPr>
    <w:rPr>
      <w:sz w:val="20"/>
    </w:rPr>
  </w:style>
  <w:style w:type="paragraph" w:styleId="BodyTextIndent">
    <w:name w:val="Body Text Indent"/>
    <w:basedOn w:val="Normal"/>
    <w:pPr>
      <w:ind w:hanging="0" w:start="-720" w:end="0"/>
      <w:jc w:val="both"/>
    </w:pPr>
    <w:rPr>
      <w:sz w:val="20"/>
    </w:rPr>
  </w:style>
  <w:style w:type="paragraph" w:styleId="BodyTextIndent2">
    <w:name w:val="Body Text Indent 2"/>
    <w:basedOn w:val="Normal"/>
    <w:qFormat/>
    <w:pPr>
      <w:ind w:hanging="0" w:start="360" w:end="0"/>
      <w:jc w:val="both"/>
    </w:pPr>
    <w:rPr>
      <w:sz w:val="20"/>
    </w:rPr>
  </w:style>
  <w:style w:type="paragraph" w:styleId="BodyTextIndent3">
    <w:name w:val="Body Text Indent 3"/>
    <w:basedOn w:val="Normal"/>
    <w:qFormat/>
    <w:pPr>
      <w:spacing w:lineRule="auto" w:line="360"/>
      <w:ind w:hanging="0" w:start="720" w:end="0"/>
      <w:jc w:val="both"/>
    </w:pPr>
    <w:rPr>
      <w:sz w:val="20"/>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2000-06-13T12:43:00Z</dcterms:created>
  <dc:creator>NYSEG</dc:creator>
  <dc:description/>
  <dc:language>en-CA</dc:language>
  <cp:lastModifiedBy>Maria Gelnett</cp:lastModifiedBy>
  <cp:lastPrinted>2000-06-16T14:45:00Z</cp:lastPrinted>
  <dcterms:modified xsi:type="dcterms:W3CDTF">2000-06-16T16:15:00Z</dcterms:modified>
  <cp:revision>5</cp:revision>
  <dc:subject/>
  <dc:title>(Multicurrency - Cross Border)</dc:title>
</cp:coreProperties>
</file>