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Times New Roman" w:hAnsi="Times New Roman" w:cs="Times New Roman"/>
          <w:b/>
          <w:sz w:val="26"/>
        </w:rPr>
      </w:pPr>
      <w:r>
        <w:rPr>
          <w:rFonts w:cs="Times New Roman" w:ascii="Times New Roman" w:hAnsi="Times New Roman"/>
          <w:b/>
          <w:sz w:val="26"/>
        </w:rPr>
        <w:t>UNITED STATES OF AMERICA</w:t>
      </w:r>
    </w:p>
    <w:p>
      <w:pPr>
        <w:pStyle w:val="Normal"/>
        <w:widowControl/>
        <w:jc w:val="center"/>
        <w:rPr>
          <w:rFonts w:ascii="Times New Roman" w:hAnsi="Times New Roman" w:cs="Times New Roman"/>
          <w:b/>
          <w:sz w:val="26"/>
        </w:rPr>
      </w:pPr>
      <w:r>
        <w:rPr>
          <w:rFonts w:cs="Times New Roman" w:ascii="Times New Roman" w:hAnsi="Times New Roman"/>
          <w:b/>
          <w:sz w:val="26"/>
        </w:rPr>
        <w:t>BEFORE THE</w:t>
      </w:r>
    </w:p>
    <w:p>
      <w:pPr>
        <w:pStyle w:val="Normal"/>
        <w:widowControl/>
        <w:jc w:val="center"/>
        <w:rPr>
          <w:rFonts w:ascii="Times New Roman" w:hAnsi="Times New Roman" w:cs="Times New Roman"/>
          <w:sz w:val="26"/>
        </w:rPr>
      </w:pPr>
      <w:r>
        <w:rPr>
          <w:rFonts w:cs="Times New Roman" w:ascii="Times New Roman" w:hAnsi="Times New Roman"/>
          <w:b/>
          <w:sz w:val="26"/>
        </w:rPr>
        <w:t>FEDERAL ENERGY REGULATORY COMMISSION</w:t>
      </w:r>
    </w:p>
    <w:p>
      <w:pPr>
        <w:pStyle w:val="Normal"/>
        <w:widowControl/>
        <w:jc w:val="both"/>
        <w:rPr>
          <w:rFonts w:ascii="Times New Roman" w:hAnsi="Times New Roman" w:cs="Times New Roman"/>
          <w:sz w:val="26"/>
        </w:rPr>
      </w:pPr>
      <w:r>
        <w:rPr>
          <w:rFonts w:cs="Times New Roman" w:ascii="Times New Roman" w:hAnsi="Times New Roman"/>
          <w:sz w:val="26"/>
        </w:rPr>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t>____________________________________</w:t>
      </w:r>
    </w:p>
    <w:p>
      <w:pPr>
        <w:pStyle w:val="Normal"/>
        <w:widowControl/>
        <w:jc w:val="both"/>
        <w:rPr>
          <w:rFonts w:ascii="Times New Roman" w:hAnsi="Times New Roman" w:cs="Times New Roman"/>
        </w:rPr>
      </w:pPr>
      <w:r>
        <w:rPr>
          <w:rFonts w:cs="Times New Roman" w:ascii="Times New Roman" w:hAnsi="Times New Roman"/>
        </w:rPr>
        <w:tab/>
        <w:tab/>
        <w:tab/>
        <w:tab/>
        <w:tab/>
        <w:tab/>
        <w:t>)</w:t>
      </w:r>
    </w:p>
    <w:p>
      <w:pPr>
        <w:pStyle w:val="Normal"/>
        <w:widowControl/>
        <w:tabs>
          <w:tab w:val="clear" w:pos="720"/>
          <w:tab w:val="left" w:pos="-1440" w:leader="none"/>
        </w:tabs>
        <w:ind w:hanging="3600" w:start="3600" w:end="0"/>
        <w:jc w:val="both"/>
        <w:rPr>
          <w:rFonts w:ascii="Times New Roman" w:hAnsi="Times New Roman" w:cs="Times New Roman"/>
        </w:rPr>
      </w:pPr>
      <w:r>
        <w:rPr>
          <w:rFonts w:cs="Times New Roman" w:ascii="Times New Roman" w:hAnsi="Times New Roman"/>
        </w:rPr>
        <w:t>San Diego Gas &amp; Electric Company,</w:t>
        <w:tab/>
        <w:tab/>
        <w:t>)</w:t>
      </w:r>
    </w:p>
    <w:p>
      <w:pPr>
        <w:pStyle w:val="Normal"/>
        <w:widowControl/>
        <w:tabs>
          <w:tab w:val="clear" w:pos="720"/>
          <w:tab w:val="left" w:pos="-1440" w:leader="none"/>
        </w:tabs>
        <w:ind w:hanging="3600" w:start="3600" w:end="0"/>
        <w:jc w:val="both"/>
        <w:rPr>
          <w:rFonts w:ascii="Times New Roman" w:hAnsi="Times New Roman" w:cs="Times New Roman"/>
        </w:rPr>
      </w:pPr>
      <w:r>
        <w:rPr>
          <w:rFonts w:cs="Times New Roman" w:ascii="Times New Roman" w:hAnsi="Times New Roman"/>
        </w:rPr>
        <w:tab/>
        <w:tab/>
        <w:tab/>
        <w:tab/>
        <w:tab/>
        <w:tab/>
        <w:t>)</w:t>
      </w:r>
    </w:p>
    <w:p>
      <w:pPr>
        <w:pStyle w:val="Normal"/>
        <w:widowControl/>
        <w:tabs>
          <w:tab w:val="clear" w:pos="720"/>
          <w:tab w:val="left" w:pos="-1440" w:leader="none"/>
        </w:tabs>
        <w:ind w:hanging="2160" w:start="3600" w:end="0"/>
        <w:jc w:val="both"/>
        <w:rPr>
          <w:rFonts w:ascii="Times New Roman" w:hAnsi="Times New Roman" w:cs="Times New Roman"/>
        </w:rPr>
      </w:pPr>
      <w:r>
        <w:rPr>
          <w:rFonts w:cs="Times New Roman" w:ascii="Times New Roman" w:hAnsi="Times New Roman"/>
        </w:rPr>
        <w:t>Complainant,</w:t>
        <w:tab/>
        <w:tab/>
        <w:tab/>
        <w:t>)</w:t>
      </w:r>
    </w:p>
    <w:p>
      <w:pPr>
        <w:pStyle w:val="Normal"/>
        <w:widowControl/>
        <w:tabs>
          <w:tab w:val="clear" w:pos="720"/>
          <w:tab w:val="left" w:pos="-1440" w:leader="none"/>
        </w:tabs>
        <w:ind w:hanging="2160" w:start="3600" w:end="0"/>
        <w:jc w:val="both"/>
        <w:rPr>
          <w:rFonts w:ascii="Times New Roman" w:hAnsi="Times New Roman" w:cs="Times New Roman"/>
        </w:rPr>
      </w:pPr>
      <w:r>
        <w:rPr>
          <w:rFonts w:cs="Times New Roman" w:ascii="Times New Roman" w:hAnsi="Times New Roman"/>
        </w:rPr>
        <w:tab/>
        <w:tab/>
        <w:tab/>
        <w:tab/>
        <w:t>)</w:t>
      </w:r>
    </w:p>
    <w:p>
      <w:pPr>
        <w:pStyle w:val="Normal"/>
        <w:widowControl/>
        <w:tabs>
          <w:tab w:val="clear" w:pos="720"/>
          <w:tab w:val="left" w:pos="-1440" w:leader="none"/>
        </w:tabs>
        <w:ind w:hanging="2880" w:start="432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v.</w:t>
        <w:tab/>
        <w:tab/>
        <w:tab/>
        <w:tab/>
        <w:t>)</w:t>
      </w:r>
    </w:p>
    <w:p>
      <w:pPr>
        <w:pStyle w:val="Normal"/>
        <w:widowControl/>
        <w:tabs>
          <w:tab w:val="clear" w:pos="720"/>
          <w:tab w:val="left" w:pos="-1440" w:leader="none"/>
        </w:tabs>
        <w:ind w:hanging="1440" w:start="5760" w:end="0"/>
        <w:jc w:val="both"/>
        <w:rPr>
          <w:rFonts w:ascii="Times New Roman" w:hAnsi="Times New Roman" w:cs="Times New Roman"/>
        </w:rPr>
      </w:pPr>
      <w:r>
        <w:rPr>
          <w:rFonts w:cs="Times New Roman" w:ascii="Times New Roman" w:hAnsi="Times New Roman"/>
        </w:rPr>
        <w:t>)</w:t>
        <w:tab/>
        <w:tab/>
        <w:t>Docket No. EL00-95-012</w:t>
      </w:r>
    </w:p>
    <w:p>
      <w:pPr>
        <w:pStyle w:val="Normal"/>
        <w:widowControl/>
        <w:tabs>
          <w:tab w:val="clear" w:pos="720"/>
          <w:tab w:val="left" w:pos="-1440" w:leader="none"/>
        </w:tabs>
        <w:ind w:hanging="4320" w:start="4320" w:end="0"/>
        <w:jc w:val="both"/>
        <w:rPr>
          <w:rFonts w:ascii="Times New Roman" w:hAnsi="Times New Roman" w:cs="Times New Roman"/>
        </w:rPr>
      </w:pPr>
      <w:r>
        <w:rPr>
          <w:rFonts w:cs="Times New Roman" w:ascii="Times New Roman" w:hAnsi="Times New Roman"/>
        </w:rPr>
        <w:t>Sellers of Energy and Ancillary Services</w:t>
        <w:tab/>
        <w:t>)</w:t>
      </w:r>
    </w:p>
    <w:p>
      <w:pPr>
        <w:pStyle w:val="Normal"/>
        <w:widowControl/>
        <w:tabs>
          <w:tab w:val="clear" w:pos="720"/>
          <w:tab w:val="left" w:pos="-1440" w:leader="none"/>
        </w:tabs>
        <w:ind w:hanging="4320" w:start="432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into Markets Operated by the California</w:t>
        <w:tab/>
        <w:t>)</w:t>
      </w:r>
    </w:p>
    <w:p>
      <w:pPr>
        <w:pStyle w:val="Normal"/>
        <w:widowControl/>
        <w:tabs>
          <w:tab w:val="clear" w:pos="720"/>
          <w:tab w:val="left" w:pos="-1440" w:leader="none"/>
        </w:tabs>
        <w:ind w:hanging="4320" w:start="432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Independent System Operator and the</w:t>
        <w:tab/>
        <w:t>)</w:t>
      </w:r>
    </w:p>
    <w:p>
      <w:pPr>
        <w:pStyle w:val="Normal"/>
        <w:widowControl/>
        <w:tabs>
          <w:tab w:val="clear" w:pos="720"/>
          <w:tab w:val="left" w:pos="-1440" w:leader="none"/>
        </w:tabs>
        <w:ind w:hanging="4320" w:start="432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California Power Exchange</w:t>
        <w:tab/>
        <w:tab/>
        <w:tab/>
        <w:t>)</w:t>
      </w:r>
    </w:p>
    <w:p>
      <w:pPr>
        <w:pStyle w:val="Normal"/>
        <w:widowControl/>
        <w:ind w:firstLine="4320" w:end="0"/>
        <w:jc w:val="both"/>
        <w:rPr>
          <w:rFonts w:ascii="Times New Roman" w:hAnsi="Times New Roman" w:cs="Times New Roman"/>
        </w:rPr>
      </w:pPr>
      <w:r>
        <w:rPr>
          <w:rFonts w:cs="Times New Roman" w:ascii="Times New Roman" w:hAnsi="Times New Roman"/>
        </w:rPr>
        <w:t>)</w:t>
      </w:r>
    </w:p>
    <w:p>
      <w:pPr>
        <w:pStyle w:val="Normal"/>
        <w:widowControl/>
        <w:tabs>
          <w:tab w:val="clear" w:pos="720"/>
          <w:tab w:val="left" w:pos="-1440" w:leader="none"/>
        </w:tabs>
        <w:ind w:hanging="2880" w:start="4320" w:end="0"/>
        <w:jc w:val="both"/>
        <w:rPr>
          <w:rFonts w:ascii="Times New Roman" w:hAnsi="Times New Roman" w:cs="Times New Roman"/>
        </w:rPr>
      </w:pPr>
      <w:r>
        <w:rPr>
          <w:rFonts w:cs="Times New Roman" w:ascii="Times New Roman" w:hAnsi="Times New Roman"/>
        </w:rPr>
        <w:t>Respondents</w:t>
        <w:tab/>
        <w:tab/>
        <w:tab/>
        <w:t>)</w:t>
      </w:r>
    </w:p>
    <w:p>
      <w:pPr>
        <w:pStyle w:val="Normal"/>
        <w:widowControl/>
        <w:jc w:val="both"/>
        <w:rPr>
          <w:rFonts w:ascii="Times New Roman" w:hAnsi="Times New Roman" w:cs="Times New Roman"/>
        </w:rPr>
      </w:pPr>
      <w:r>
        <w:rPr>
          <w:rFonts w:cs="Times New Roman" w:ascii="Times New Roman" w:hAnsi="Times New Roman"/>
        </w:rPr>
        <w:t>____________________________________)</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sz w:val="26"/>
        </w:rPr>
      </w:pPr>
      <w:r>
        <w:rPr>
          <w:rFonts w:cs="Times New Roman" w:ascii="Times New Roman" w:hAnsi="Times New Roman"/>
          <w:b/>
          <w:sz w:val="26"/>
        </w:rPr>
        <w:t>COMMENTS OF THE PUBLIC UTILITY COMMISSION OF OREGON</w:t>
      </w:r>
    </w:p>
    <w:p>
      <w:pPr>
        <w:pStyle w:val="Normal"/>
        <w:widowControl/>
        <w:jc w:val="center"/>
        <w:rPr>
          <w:rFonts w:ascii="Times New Roman" w:hAnsi="Times New Roman" w:cs="Times New Roman"/>
          <w:b/>
          <w:sz w:val="26"/>
        </w:rPr>
      </w:pPr>
      <w:r>
        <w:rPr>
          <w:rFonts w:cs="Times New Roman" w:ascii="Times New Roman" w:hAnsi="Times New Roman"/>
          <w:b/>
          <w:sz w:val="26"/>
        </w:rPr>
        <w:t xml:space="preserve">IN OPPOSITION TO THE CALIFORNIA INDEPENDENT </w:t>
      </w:r>
    </w:p>
    <w:p>
      <w:pPr>
        <w:pStyle w:val="Normal"/>
        <w:widowControl/>
        <w:jc w:val="center"/>
        <w:rPr>
          <w:rFonts w:ascii="Times New Roman" w:hAnsi="Times New Roman" w:cs="Times New Roman"/>
          <w:b/>
          <w:sz w:val="26"/>
        </w:rPr>
      </w:pPr>
      <w:r>
        <w:rPr>
          <w:rFonts w:cs="Times New Roman" w:ascii="Times New Roman" w:hAnsi="Times New Roman"/>
          <w:b/>
          <w:sz w:val="26"/>
        </w:rPr>
        <w:t>SYSTEM OPERATOR CORPORATION'S</w:t>
      </w:r>
    </w:p>
    <w:p>
      <w:pPr>
        <w:pStyle w:val="Normal"/>
        <w:widowControl/>
        <w:jc w:val="center"/>
        <w:rPr>
          <w:rFonts w:ascii="Times New Roman" w:hAnsi="Times New Roman" w:cs="Times New Roman"/>
          <w:sz w:val="26"/>
        </w:rPr>
      </w:pPr>
      <w:r>
        <w:rPr>
          <w:rFonts w:cs="Times New Roman" w:ascii="Times New Roman" w:hAnsi="Times New Roman"/>
          <w:b/>
          <w:sz w:val="26"/>
        </w:rPr>
        <w:t xml:space="preserve">PROPOSED MARKET STABILIZATION PLAN </w:t>
      </w:r>
    </w:p>
    <w:p>
      <w:pPr>
        <w:pStyle w:val="Normal"/>
        <w:widowControl/>
        <w:jc w:val="center"/>
        <w:rPr>
          <w:rFonts w:ascii="Times New Roman" w:hAnsi="Times New Roman" w:cs="Times New Roman"/>
          <w:sz w:val="26"/>
        </w:rPr>
      </w:pPr>
      <w:r>
        <w:rPr>
          <w:rFonts w:cs="Times New Roman" w:ascii="Times New Roman" w:hAnsi="Times New Roman"/>
          <w:sz w:val="26"/>
        </w:rPr>
      </w:r>
    </w:p>
    <w:p>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start"/>
        <w:rPr>
          <w:rFonts w:ascii="Times New Roman" w:hAnsi="Times New Roman" w:cs="Times New Roman"/>
        </w:rPr>
      </w:pPr>
      <w:r>
        <w:rPr>
          <w:rFonts w:cs="Times New Roman" w:ascii="Times New Roman" w:hAnsi="Times New Roman"/>
        </w:rPr>
        <w:t xml:space="preserve">The Public Utility Commission of Oregon (“OPUC”) hereby submits its comments in opposition to a key element of the "Proposed Market Stabilization Plan of the California Independent System Operator Corporation ["CAISO"].  The CAISO Plan was provided in Response to Letter Order of March 30, 2001", filed in this docket on April 6, 2001. </w:t>
      </w:r>
    </w:p>
    <w:p>
      <w:pPr>
        <w:pStyle w:val="Normal"/>
        <w:widowControl/>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I.</w:t>
      </w:r>
    </w:p>
    <w:p>
      <w:pPr>
        <w:pStyle w:val="Normal"/>
        <w:widowControl/>
        <w:jc w:val="center"/>
        <w:rPr>
          <w:rFonts w:ascii="Times New Roman" w:hAnsi="Times New Roman" w:cs="Times New Roman"/>
          <w:b/>
        </w:rPr>
      </w:pPr>
      <w:r>
        <w:rPr>
          <w:rFonts w:cs="Times New Roman" w:ascii="Times New Roman" w:hAnsi="Times New Roman"/>
          <w:b/>
        </w:rPr>
        <w:t>INTRODUCTION</w:t>
      </w:r>
    </w:p>
    <w:p>
      <w:pPr>
        <w:pStyle w:val="Normal"/>
        <w:widowControl/>
        <w:rPr>
          <w:rFonts w:ascii="Times New Roman" w:hAnsi="Times New Roman" w:cs="Times New Roman"/>
          <w:b/>
        </w:rPr>
      </w:pPr>
      <w:r>
        <w:rPr>
          <w:rFonts w:cs="Times New Roman" w:ascii="Times New Roman" w:hAnsi="Times New Roman"/>
          <w:b/>
        </w:rPr>
      </w:r>
    </w:p>
    <w:p>
      <w:pPr>
        <w:pStyle w:val="Normal"/>
        <w:widowControl/>
        <w:autoSpaceDE w:val="false"/>
        <w:spacing w:lineRule="auto" w:line="480"/>
        <w:rPr>
          <w:rFonts w:ascii="Times New Roman" w:hAnsi="Times New Roman" w:cs="Times New Roman"/>
        </w:rPr>
      </w:pPr>
      <w:r>
        <w:rPr/>
        <w:tab/>
      </w:r>
      <w:r>
        <w:rPr>
          <w:rFonts w:cs="Times New Roman" w:ascii="Times New Roman" w:hAnsi="Times New Roman"/>
        </w:rPr>
        <w:t>On April 6, 2001, the CAISO submitted its Market Stabilization Plan ("MSP").  The CAISO states that it's MSP, if adopted, would</w:t>
      </w:r>
      <w:r>
        <w:rPr>
          <w:rFonts w:cs="Times New Roman" w:ascii="Times New Roman" w:hAnsi="Times New Roman"/>
          <w:szCs w:val="24"/>
        </w:rPr>
        <w:t xml:space="preserve"> "produce major changes in the current California market structure," </w:t>
      </w:r>
      <w:r>
        <w:rPr>
          <w:rFonts w:cs="Times New Roman" w:ascii="Times New Roman" w:hAnsi="Times New Roman"/>
          <w:i/>
          <w:iCs/>
          <w:szCs w:val="24"/>
        </w:rPr>
        <w:t>Trans. Ltr.</w:t>
      </w:r>
      <w:r>
        <w:rPr>
          <w:rFonts w:cs="Times New Roman" w:ascii="Times New Roman" w:hAnsi="Times New Roman"/>
          <w:szCs w:val="24"/>
        </w:rPr>
        <w:t xml:space="preserve"> at 6.   We agree.   The MSP has the potential to significantly affect the people and businesses in the State of Oregon, as well as western reliability and markets.  Accordingly, the OPUC respectfully submits the following comments.</w:t>
      </w:r>
    </w:p>
    <w:p>
      <w:pPr>
        <w:pStyle w:val="Normal"/>
        <w:widowControl/>
        <w:rPr>
          <w:rFonts w:ascii="Times New Roman" w:hAnsi="Times New Roman" w:cs="Times New Roman"/>
          <w:b/>
          <w:sz w:val="26"/>
        </w:rPr>
      </w:pPr>
      <w:r>
        <w:rPr>
          <w:rFonts w:cs="Times New Roman" w:ascii="Times New Roman" w:hAnsi="Times New Roman"/>
          <w:b/>
          <w:sz w:val="26"/>
        </w:rPr>
      </w:r>
    </w:p>
    <w:p>
      <w:pPr>
        <w:pStyle w:val="Normal"/>
        <w:widowControl/>
        <w:jc w:val="center"/>
        <w:rPr>
          <w:rFonts w:ascii="Times New Roman" w:hAnsi="Times New Roman" w:cs="Times New Roman"/>
          <w:b/>
          <w:sz w:val="26"/>
        </w:rPr>
      </w:pPr>
      <w:r>
        <w:rPr>
          <w:rFonts w:cs="Times New Roman" w:ascii="Times New Roman" w:hAnsi="Times New Roman"/>
          <w:b/>
          <w:sz w:val="26"/>
        </w:rPr>
        <w:t>II.</w:t>
      </w:r>
    </w:p>
    <w:p>
      <w:pPr>
        <w:pStyle w:val="BodyText"/>
        <w:widowControl/>
        <w:jc w:val="center"/>
        <w:rPr>
          <w:b/>
          <w:bCs/>
        </w:rPr>
      </w:pPr>
      <w:r>
        <w:rPr>
          <w:b/>
          <w:bCs/>
        </w:rPr>
        <w:t>COMMENTS</w:t>
      </w:r>
    </w:p>
    <w:p>
      <w:pPr>
        <w:pStyle w:val="Normal"/>
        <w:widowControl/>
        <w:spacing w:lineRule="auto" w:line="480"/>
        <w:rPr>
          <w:rFonts w:ascii="Times New Roman" w:hAnsi="Times New Roman" w:cs="Times New Roman"/>
        </w:rPr>
      </w:pPr>
      <w:r>
        <w:rPr>
          <w:rFonts w:cs="Times New Roman" w:ascii="Times New Roman" w:hAnsi="Times New Roman"/>
        </w:rPr>
        <w:tab/>
        <w:t xml:space="preserve">The OPUC opposes the MSP's proposed treatment of exports.  The MSP would provide the CAISO broad authority to curtail exports, maintaining that such actions are needed to maintain reliability.  In these unprecedented times of west-wide resource scarcity, we must reject policies that increase market uncertainty and restrain trade. The basic tenet of the U.S. Constitution provides for freedom of commerce.  In the West, that freedom translates into the ability of utilities to trade freely across state borders. </w:t>
      </w:r>
    </w:p>
    <w:p>
      <w:pPr>
        <w:pStyle w:val="Normal"/>
        <w:widowControl/>
        <w:spacing w:lineRule="auto" w:line="480"/>
        <w:rPr>
          <w:rFonts w:ascii="Times New Roman" w:hAnsi="Times New Roman" w:cs="Times New Roman"/>
        </w:rPr>
      </w:pPr>
      <w:r>
        <w:rPr>
          <w:rFonts w:cs="Times New Roman" w:ascii="Times New Roman" w:hAnsi="Times New Roman"/>
        </w:rPr>
      </w:r>
    </w:p>
    <w:p>
      <w:pPr>
        <w:pStyle w:val="Normal"/>
        <w:widowControl/>
        <w:spacing w:lineRule="auto" w:line="480"/>
        <w:ind w:firstLine="720" w:end="0"/>
        <w:rPr>
          <w:rFonts w:ascii="Times New Roman" w:hAnsi="Times New Roman" w:cs="Times New Roman"/>
        </w:rPr>
      </w:pPr>
      <w:r>
        <w:rPr>
          <w:rFonts w:cs="Times New Roman" w:ascii="Times New Roman" w:hAnsi="Times New Roman"/>
        </w:rPr>
        <w:t>Citing the need to ensure reliability, the CAISO proposes to breach bilateral contracts by curtailing all export schedules not associated with ETCs or wheeling contracts when it forecasts that it has insufficient power to meet the needs of California.  The CAISO apparently refuses to acknowledge that exports out of California, while not serving California load, are indeed serving the load of some other state in the West -- meeting the reliability needs of another.  In fact, the ISO would punish these out-of-state utilities, which have planned prudently and entered into bilateral contracts with California generating facilities, by breaching their contracts whenever it suspects a potential “emergency.”  The CAISO also seems to have ignored the apparent inconsistency that other states were forced to sell into California to serve California's load, and now the CAISO has asked for authority to endanger reliability in these same states by curtailing exports from CAISO.</w:t>
      </w:r>
    </w:p>
    <w:p>
      <w:pPr>
        <w:pStyle w:val="Normal"/>
        <w:widowControl/>
        <w:spacing w:lineRule="auto" w:line="480"/>
        <w:rPr>
          <w:rFonts w:ascii="Times New Roman" w:hAnsi="Times New Roman" w:cs="Times New Roman"/>
        </w:rPr>
      </w:pPr>
      <w:r>
        <w:rPr>
          <w:rFonts w:cs="Times New Roman" w:ascii="Times New Roman" w:hAnsi="Times New Roman"/>
        </w:rPr>
      </w:r>
    </w:p>
    <w:p>
      <w:pPr>
        <w:pStyle w:val="Normal"/>
        <w:widowControl/>
        <w:spacing w:lineRule="auto" w:line="480"/>
        <w:ind w:firstLine="720" w:end="0"/>
        <w:rPr>
          <w:rFonts w:ascii="Times New Roman" w:hAnsi="Times New Roman" w:cs="Times New Roman"/>
        </w:rPr>
      </w:pPr>
      <w:r>
        <w:rPr>
          <w:rFonts w:cs="Times New Roman" w:ascii="Times New Roman" w:hAnsi="Times New Roman"/>
        </w:rPr>
        <w:t xml:space="preserve">The CAISO proposal may result in an actual decrease in power available to California.  For example, non-California utilities and marketers may refrain from making energy exchange transactions with California utilities for the fear that energy to be returned by the California utilities may be claimed by the CAISO.  There have been many studies published that document that policies to ban exports of resources or capital prove to be counter productive.  The export provisions of the MSP are bad public policy and may violate the Interstate Commerce clause of the Constitution and this Commission’s Order 2000. </w:t>
      </w:r>
    </w:p>
    <w:p>
      <w:pPr>
        <w:pStyle w:val="BodyText"/>
        <w:spacing w:lineRule="auto" w:line="240"/>
        <w:jc w:val="center"/>
        <w:rPr>
          <w:rFonts w:ascii="Times New Roman" w:hAnsi="Times New Roman" w:cs="Times New Roman"/>
          <w:b/>
          <w:sz w:val="26"/>
        </w:rPr>
      </w:pPr>
      <w:r>
        <w:rPr>
          <w:rFonts w:cs="Times New Roman"/>
          <w:b/>
          <w:sz w:val="26"/>
        </w:rPr>
      </w:r>
    </w:p>
    <w:p>
      <w:pPr>
        <w:pStyle w:val="BodyText"/>
        <w:spacing w:lineRule="auto" w:line="240"/>
        <w:jc w:val="center"/>
        <w:rPr>
          <w:b/>
          <w:sz w:val="26"/>
        </w:rPr>
      </w:pPr>
      <w:r>
        <w:rPr>
          <w:b/>
          <w:sz w:val="26"/>
        </w:rPr>
        <w:t>III.</w:t>
      </w:r>
    </w:p>
    <w:p>
      <w:pPr>
        <w:pStyle w:val="BodyText"/>
        <w:spacing w:lineRule="auto" w:line="240"/>
        <w:jc w:val="center"/>
        <w:rPr>
          <w:b/>
          <w:sz w:val="26"/>
        </w:rPr>
      </w:pPr>
      <w:r>
        <w:rPr>
          <w:b/>
          <w:sz w:val="26"/>
        </w:rPr>
        <w:t>CONCLUSION</w:t>
      </w:r>
    </w:p>
    <w:p>
      <w:pPr>
        <w:pStyle w:val="BodyText"/>
        <w:spacing w:lineRule="auto" w:line="240"/>
        <w:jc w:val="start"/>
        <w:rPr>
          <w:b/>
          <w:sz w:val="26"/>
        </w:rPr>
      </w:pPr>
      <w:r>
        <w:rPr>
          <w:b/>
          <w:sz w:val="26"/>
        </w:rPr>
      </w:r>
    </w:p>
    <w:p>
      <w:pPr>
        <w:pStyle w:val="BodyText"/>
        <w:ind w:firstLine="720" w:end="0"/>
        <w:jc w:val="start"/>
        <w:rPr/>
      </w:pPr>
      <w:r>
        <w:rPr/>
        <w:t>The OPUC recommends the Commission reject the MSP plan authorizing the CAISO to cease exports.  The OPUC believes focus should rather be placed on solutions that promote new resource supply such as open commerce.</w:t>
      </w:r>
    </w:p>
    <w:p>
      <w:pPr>
        <w:pStyle w:val="BodyText"/>
        <w:ind w:firstLine="720" w:end="0"/>
        <w:rPr/>
      </w:pPr>
      <w:r>
        <w:rPr/>
      </w:r>
    </w:p>
    <w:p>
      <w:pPr>
        <w:pStyle w:val="Normal"/>
        <w:widowControl/>
        <w:spacing w:lineRule="auto" w:line="480"/>
        <w:ind w:firstLine="720" w:end="0"/>
        <w:jc w:val="both"/>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ab/>
        <w:tab/>
        <w:tab/>
        <w:tab/>
        <w:tab/>
        <w:tab/>
        <w:t>Respectfully submitted,</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_______________                              ________________                    _______________</w:t>
      </w:r>
    </w:p>
    <w:p>
      <w:pPr>
        <w:pStyle w:val="Normal"/>
        <w:rPr>
          <w:rFonts w:ascii="Times New Roman" w:hAnsi="Times New Roman" w:cs="Times New Roman"/>
        </w:rPr>
      </w:pPr>
      <w:r>
        <w:rPr>
          <w:rFonts w:cs="Times New Roman" w:ascii="Times New Roman" w:hAnsi="Times New Roman"/>
        </w:rPr>
        <w:t>Ron Eachus                                         Roger Hamilton                           Joan Smith</w:t>
        <w:tab/>
      </w:r>
    </w:p>
    <w:p>
      <w:pPr>
        <w:pStyle w:val="Normal"/>
        <w:rPr>
          <w:rFonts w:ascii="Times New Roman" w:hAnsi="Times New Roman" w:cs="Times New Roman"/>
        </w:rPr>
      </w:pPr>
      <w:r>
        <w:rPr>
          <w:rFonts w:cs="Times New Roman" w:ascii="Times New Roman" w:hAnsi="Times New Roman"/>
        </w:rPr>
        <w:t xml:space="preserve">Chairman                                             Commissioner                             Commissioner </w:t>
        <w:tab/>
      </w:r>
    </w:p>
    <w:p>
      <w:pPr>
        <w:pStyle w:val="Normal"/>
        <w:ind w:firstLine="720" w:start="3600" w:end="0"/>
        <w:rPr>
          <w:rFonts w:ascii="Times New Roman" w:hAnsi="Times New Roman" w:cs="Times New Roman"/>
        </w:rPr>
      </w:pPr>
      <w:r>
        <w:rPr>
          <w:rFonts w:cs="Times New Roman" w:ascii="Times New Roman" w:hAnsi="Times New Roman"/>
        </w:rPr>
        <w:tab/>
        <w:tab/>
        <w:tab/>
        <w:tab/>
        <w:tab/>
        <w:tab/>
      </w:r>
    </w:p>
    <w:p>
      <w:pPr>
        <w:pStyle w:val="Normal"/>
        <w:ind w:firstLine="720" w:start="3600" w:end="0"/>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April 23, 2001</w:t>
      </w:r>
    </w:p>
    <w:p>
      <w:pPr>
        <w:pStyle w:val="Normal"/>
        <w:widowControl/>
        <w:spacing w:lineRule="auto" w:line="480"/>
        <w:ind w:firstLine="720" w:end="0"/>
        <w:jc w:val="both"/>
        <w:rPr>
          <w:rFonts w:ascii="Times New Roman" w:hAnsi="Times New Roman" w:cs="Times New Roman"/>
        </w:rPr>
      </w:pPr>
      <w:r>
        <w:rPr>
          <w:rFonts w:cs="Times New Roman" w:ascii="Times New Roman" w:hAnsi="Times New Roman"/>
        </w:rPr>
      </w:r>
    </w:p>
    <w:p>
      <w:pPr>
        <w:pStyle w:val="Normal"/>
        <w:widowControl/>
        <w:spacing w:lineRule="auto" w:line="480"/>
        <w:ind w:firstLine="720" w:end="0"/>
        <w:jc w:val="both"/>
        <w:rPr>
          <w:rFonts w:ascii="Times New Roman" w:hAnsi="Times New Roman" w:cs="Times New Roman"/>
        </w:rPr>
      </w:pPr>
      <w:r>
        <w:rPr>
          <w:rFonts w:cs="Times New Roman" w:ascii="Times New Roman" w:hAnsi="Times New Roman"/>
        </w:rPr>
      </w:r>
    </w:p>
    <w:p>
      <w:pPr>
        <w:pStyle w:val="Normal"/>
        <w:widowControl/>
        <w:spacing w:lineRule="auto" w:line="480"/>
        <w:ind w:firstLine="720" w:end="0"/>
        <w:jc w:val="both"/>
        <w:rPr>
          <w:rFonts w:ascii="Times New Roman" w:hAnsi="Times New Roman" w:cs="Times New Roman"/>
          <w:sz w:val="20"/>
        </w:rPr>
      </w:pPr>
      <w:r>
        <w:rPr>
          <w:rFonts w:cs="Times New Roman" w:ascii="Times New Roman" w:hAnsi="Times New Roman"/>
          <w:sz w:val="20"/>
        </w:rPr>
      </w:r>
    </w:p>
    <w:sectPr>
      <w:footerReference w:type="default" r:id="rId2"/>
      <w:footerReference w:type="first" r:id="rId3"/>
      <w:type w:val="nextPage"/>
      <w:pgSz w:w="12240" w:h="15840"/>
      <w:pgMar w:left="1440" w:right="1440" w:gutter="0" w:header="0" w:top="1440" w:footer="864" w:bottom="9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CG Times">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92075" cy="173990"/>
              <wp:effectExtent l="0" t="0" r="0" b="0"/>
              <wp:wrapSquare wrapText="bothSides"/>
              <wp:docPr id="1" name="Frame1"/>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0"/>
        </w:tabs>
        <w:ind w:start="0" w:hanging="0"/>
      </w:pPr>
      <w:rPr>
        <w:sz w:val="26"/>
        <w:i/>
        <w:b/>
        <w:rFonts w:ascii="Times New Roman" w:hAnsi="Times New Roman"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start="0" w:end="0"/>
      <w:jc w:val="both"/>
      <w:outlineLvl w:val="0"/>
    </w:pPr>
    <w:rPr>
      <w:rFonts w:ascii="Times New Roman" w:hAnsi="Times New Roman" w:cs="Times New Roman"/>
      <w:bCs/>
      <w:sz w:val="28"/>
    </w:rPr>
  </w:style>
  <w:style w:type="paragraph" w:styleId="Heading2">
    <w:name w:val="heading 2"/>
    <w:basedOn w:val="Normal"/>
    <w:next w:val="Normal"/>
    <w:qFormat/>
    <w:pPr>
      <w:keepNext w:val="true"/>
      <w:widowControl/>
      <w:numPr>
        <w:ilvl w:val="1"/>
        <w:numId w:val="1"/>
      </w:numPr>
      <w:spacing w:lineRule="auto" w:line="480"/>
      <w:ind w:firstLine="720" w:start="0" w:end="0"/>
      <w:jc w:val="center"/>
      <w:outlineLvl w:val="1"/>
    </w:pPr>
    <w:rPr>
      <w:rFonts w:ascii="Times New Roman" w:hAnsi="Times New Roman" w:cs="Times New Roman"/>
      <w:b/>
      <w:sz w:val="26"/>
    </w:rPr>
  </w:style>
  <w:style w:type="paragraph" w:styleId="Heading3">
    <w:name w:val="heading 3"/>
    <w:basedOn w:val="Normal"/>
    <w:next w:val="Normal"/>
    <w:qFormat/>
    <w:pPr>
      <w:keepNext w:val="true"/>
      <w:widowControl/>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start="0" w:end="0"/>
      <w:jc w:val="both"/>
      <w:outlineLvl w:val="2"/>
    </w:pPr>
    <w:rPr>
      <w:b/>
      <w:i/>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b/>
      <w:i/>
    </w:rPr>
  </w:style>
  <w:style w:type="character" w:styleId="WW8Num1z0">
    <w:name w:val="WW8Num1z0"/>
    <w:qFormat/>
    <w:rPr>
      <w:rFonts w:ascii="Times New Roman" w:hAnsi="Times New Roman" w:cs="Times New Roman"/>
      <w:b/>
      <w:i/>
      <w:sz w:val="26"/>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FootnoteCharacters">
    <w:name w:val="Footnote Characters"/>
    <w:qForma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autoSpaceDE w:val="false"/>
    </w:pPr>
    <w:rPr>
      <w:rFonts w:ascii="Times New Roman" w:hAnsi="Times New Roman" w:cs="Times New Roman"/>
      <w:sz w:val="20"/>
    </w:rPr>
  </w:style>
  <w:style w:type="paragraph" w:styleId="BodyTextIndent">
    <w:name w:val="Body Text Indent"/>
    <w:basedOn w:val="Normal"/>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start="0" w:end="0"/>
      <w:jc w:val="both"/>
    </w:pPr>
    <w:rPr>
      <w:rFonts w:ascii="CG Times;Times New Roman" w:hAnsi="CG Times;Times New Roman" w:cs="CG Times;Times New Roman"/>
    </w:rPr>
  </w:style>
  <w:style w:type="paragraph" w:styleId="BlockText">
    <w:name w:val="Block Text"/>
    <w:basedOn w:val="Normal"/>
    <w:qFormat/>
    <w:pPr>
      <w:tabs>
        <w:tab w:val="left" w:pos="720" w:leader="none"/>
        <w:tab w:val="left" w:pos="1440" w:leader="none"/>
      </w:tabs>
      <w:ind w:hanging="720" w:start="1440" w:end="720"/>
      <w:jc w:val="both"/>
    </w:pPr>
    <w:rPr>
      <w:rFonts w:ascii="Times New Roman" w:hAnsi="Times New Roman" w:cs="Times New Roman"/>
    </w:rPr>
  </w:style>
  <w:style w:type="paragraph" w:styleId="BodyTextIndent2">
    <w:name w:val="Body Text Indent 2"/>
    <w:basedOn w:val="Normal"/>
    <w:qFormat/>
    <w:pPr>
      <w:ind w:hanging="720" w:start="1440" w:end="0"/>
      <w:jc w:val="both"/>
    </w:pPr>
    <w:rPr>
      <w:rFonts w:ascii="Times New Roman" w:hAnsi="Times New Roman" w:cs="Times New Roman"/>
      <w:b/>
      <w:i/>
      <w:sz w:val="26"/>
    </w:rPr>
  </w:style>
  <w:style w:type="paragraph" w:styleId="CommentText">
    <w:name w:val="Comment Text"/>
    <w:basedOn w:val="Normal"/>
    <w:qFormat/>
    <w:pPr/>
    <w:rPr>
      <w:sz w:val="20"/>
    </w:rPr>
  </w:style>
  <w:style w:type="paragraph" w:styleId="BodyText2">
    <w:name w:val="Body Text 2"/>
    <w:basedOn w:val="Normal"/>
    <w:qFormat/>
    <w:pPr>
      <w:jc w:val="both"/>
    </w:pPr>
    <w:rPr>
      <w:rFonts w:ascii="Times New Roman" w:hAnsi="Times New Roman" w:cs="Times New Roman"/>
      <w:b/>
      <w:i/>
      <w:sz w:val="26"/>
    </w:rPr>
  </w:style>
  <w:style w:type="paragraph" w:styleId="BodyTextIndent3">
    <w:name w:val="Body Text Indent 3"/>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pPr>
    <w:rPr>
      <w:rFonts w:ascii="Times New Roman" w:hAnsi="Times New Roman" w:cs="Times New Roman"/>
      <w:b/>
      <w:i/>
      <w:sz w:val="26"/>
    </w:rPr>
  </w:style>
  <w:style w:type="paragraph" w:styleId="Level1">
    <w:name w:val="Level 1"/>
    <w:basedOn w:val="Normal"/>
    <w:qFormat/>
    <w:pPr>
      <w:numPr>
        <w:ilvl w:val="0"/>
        <w:numId w:val="2"/>
      </w:numPr>
      <w:ind w:hanging="720" w:start="1440" w:end="0"/>
      <w:outlineLvl w:val="0"/>
    </w:pPr>
    <w:rPr>
      <w:rFonts w:ascii="Times New Roman" w:hAnsi="Times New Roman" w:cs="Times New Roman"/>
    </w:rPr>
  </w:style>
  <w:style w:type="paragraph" w:styleId="Legal">
    <w:name w:val="Legal"/>
    <w:basedOn w:val="Normal"/>
    <w:qFormat/>
    <w:pPr>
      <w:widowControl/>
      <w:spacing w:lineRule="auto" w:line="480" w:before="0" w:after="120"/>
      <w:jc w:val="both"/>
    </w:pPr>
    <w:rPr>
      <w:rFonts w:ascii="Times New Roman" w:hAnsi="Times New Roman" w:cs="Times New Roman"/>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2001-04-24T15:33:00Z</dcterms:created>
  <dc:creator>Bracewell &amp; Patterson, L.L.P.</dc:creator>
  <dc:description/>
  <dc:language>en-CA</dc:language>
  <cp:lastModifiedBy>sbrown</cp:lastModifiedBy>
  <cp:lastPrinted>2001-04-23T16:11:00Z</cp:lastPrinted>
  <dcterms:modified xsi:type="dcterms:W3CDTF">2001-04-24T15:33:00Z</dcterms:modified>
  <cp:revision>2</cp:revision>
  <dc:subject/>
  <dc:title>UNITED STATES OF AMERICA</dc:title>
</cp:coreProperties>
</file>