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b/>
          <w:sz w:val="22"/>
        </w:rPr>
      </w:pPr>
      <w:r>
        <w:rPr>
          <w:sz w:val="22"/>
        </w:rPr>
        <w:t>February ___, 2001</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Morgan, Stanley Capital Group Inc.</w:t>
      </w:r>
    </w:p>
    <w:p>
      <w:pPr>
        <w:pStyle w:val="Normal"/>
        <w:jc w:val="both"/>
        <w:rPr>
          <w:sz w:val="22"/>
        </w:rPr>
      </w:pPr>
      <w:r>
        <w:rPr>
          <w:sz w:val="22"/>
        </w:rPr>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Morgan Stanley Capital Group Inc., a ___________ corporation (“MSCG”) and Enron North America Corp., a Delaware corporation (“ENA”), to evaluate ENA’s and MSCG’s possible joint effort in the formation of special purpose vehicles and the subsequent establishment of control areas in various locations (the “Transaction”).  MSCG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in Article I are not intended to and do not constitute a binding agreement of the Parties with respect to the goods and services comprising the Transaction.  Any such binding agreement will only arise upon the negotiation, execution and delivery of mutually satisfactory definitive agreements and the satisfaction of the conditions set forth therein, including the approval of such agreements and the Transaction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w:t>
      </w:r>
    </w:p>
    <w:p>
      <w:pPr>
        <w:pStyle w:val="Normal"/>
        <w:keepNext w:val="true"/>
        <w:keepLines/>
        <w:jc w:val="both"/>
        <w:rPr>
          <w:sz w:val="22"/>
        </w:rPr>
      </w:pPr>
      <w:r>
        <w:rPr>
          <w:sz w:val="22"/>
        </w:rPr>
      </w:r>
    </w:p>
    <w:p>
      <w:pPr>
        <w:pStyle w:val="Normal"/>
        <w:numPr>
          <w:ilvl w:val="0"/>
          <w:numId w:val="3"/>
        </w:numPr>
        <w:tabs>
          <w:tab w:val="clear" w:pos="720"/>
          <w:tab w:val="left" w:pos="1440" w:leader="none"/>
        </w:tabs>
        <w:ind w:firstLine="720" w:start="0" w:end="0"/>
        <w:jc w:val="both"/>
        <w:rPr>
          <w:sz w:val="22"/>
        </w:rPr>
      </w:pPr>
      <w:r>
        <w:rPr>
          <w:sz w:val="22"/>
        </w:rPr>
        <w:tab/>
        <w:t xml:space="preserve">The Parties will meet to discuss the Transaction and the necessary agreements relating thereto. ENA and MSCG may conduct a due diligence investigation regarding the Transaction, including legal and economic analysis.  MSCG will assist ENA in such investigation and MSCG will disclose to ENA all relevant information in MSCG's possession pertaining thereto. It is understood that ENA and MSCG are not, by virtue of this agreement, undertaking any liability with regard to the Transaction; any such undertaking would be addressed in a subsequent definitive agreements.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Transaction.  </w:t>
      </w:r>
      <w:r>
        <w:rPr>
          <w:sz w:val="24"/>
        </w:rPr>
        <w:t>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MSCG/ENA joint effort will not be economically viable or otherwise successful; or (iii) ____, 200_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the Parties in undertaking due diligence review of the Transaction, each Party hereby grants the other, for a period beginning on _____ __, _____ and ending at the expiration of the Term, the exclusive right to pursue the Transaction in the geographic areas included in Exhibit A.  During this Term, neither Party shall work with other persons with regard to any development of the Transaction in the states referenced in Exhibit A without the prior written consent of the other Party. The foregoing exclusivity provision shall not restrict or prohibit either Party from pursuing with third persons arrangements similar to the Transaction in other locations,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MSCG,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Normal"/>
        <w:keepNext w:val="true"/>
        <w:keepLines/>
        <w:jc w:val="both"/>
        <w:rPr/>
      </w:pPr>
      <w:r>
        <w:rPr>
          <w:b/>
          <w:bCs/>
          <w:sz w:val="22"/>
        </w:rPr>
        <w:t>MORGAN STANLEY CAPITAL GROUP INC</w:t>
      </w:r>
      <w:r>
        <w:rPr>
          <w:sz w:val="22"/>
        </w:rPr>
        <w:t>.</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pPr>
      <w:r>
        <w:rPr/>
        <w:t>EXHIBIT A TO LETTER AGREEMENT</w:t>
      </w:r>
    </w:p>
    <w:p>
      <w:pPr>
        <w:pStyle w:val="Normal"/>
        <w:jc w:val="center"/>
        <w:rPr>
          <w:b/>
          <w:bCs/>
          <w:sz w:val="22"/>
          <w:u w:val="single"/>
        </w:rPr>
      </w:pPr>
      <w:r>
        <w:rPr>
          <w:b/>
          <w:bCs/>
          <w:sz w:val="22"/>
          <w:u w:val="single"/>
        </w:rPr>
        <w:t>MORGAN STANLEY CAPITAL GROUP INC AND ENRON NORTH AMERICA CORP.</w:t>
      </w:r>
    </w:p>
    <w:p>
      <w:pPr>
        <w:pStyle w:val="Normal"/>
        <w:jc w:val="center"/>
        <w:rPr>
          <w:b/>
          <w:bCs/>
          <w:sz w:val="22"/>
          <w:u w:val="single"/>
        </w:rPr>
      </w:pPr>
      <w:r>
        <w:rPr>
          <w:b/>
          <w:bCs/>
          <w:sz w:val="22"/>
          <w:u w:val="single"/>
        </w:rPr>
      </w:r>
    </w:p>
    <w:p>
      <w:pPr>
        <w:pStyle w:val="Normal"/>
        <w:jc w:val="center"/>
        <w:rPr>
          <w:b/>
          <w:bCs/>
          <w:sz w:val="22"/>
          <w:u w:val="single"/>
        </w:rPr>
      </w:pPr>
      <w:r>
        <w:rPr>
          <w:b/>
          <w:bCs/>
          <w:sz w:val="22"/>
          <w:u w:val="single"/>
        </w:rPr>
      </w:r>
    </w:p>
    <w:p>
      <w:pPr>
        <w:pStyle w:val="Normal"/>
        <w:tabs>
          <w:tab w:val="clear" w:pos="720"/>
          <w:tab w:val="left" w:pos="360" w:leader="none"/>
        </w:tabs>
        <w:spacing w:lineRule="auto" w:line="360"/>
        <w:jc w:val="both"/>
        <w:rPr/>
      </w:pPr>
      <w:r>
        <w:rPr>
          <w:b/>
          <w:sz w:val="22"/>
        </w:rPr>
        <w:t>Parties</w:t>
      </w:r>
      <w:r>
        <w:rPr>
          <w:b/>
          <w:smallCaps/>
          <w:sz w:val="22"/>
        </w:rPr>
        <w:t>:</w:t>
        <w:tab/>
        <w:tab/>
      </w:r>
      <w:r>
        <w:rPr>
          <w:sz w:val="22"/>
        </w:rPr>
        <w:t>Morgan Stanley Capital Group (“MSCG”)</w:t>
      </w:r>
    </w:p>
    <w:p>
      <w:pPr>
        <w:pStyle w:val="Normal"/>
        <w:tabs>
          <w:tab w:val="clear" w:pos="720"/>
          <w:tab w:val="left" w:pos="360" w:leader="none"/>
        </w:tabs>
        <w:spacing w:lineRule="auto" w:line="360"/>
        <w:jc w:val="both"/>
        <w:rPr/>
      </w:pPr>
      <w:r>
        <w:rPr>
          <w:b/>
          <w:sz w:val="22"/>
        </w:rPr>
        <w:tab/>
        <w:tab/>
        <w:tab/>
        <w:tab/>
      </w:r>
      <w:r>
        <w:rPr>
          <w:sz w:val="22"/>
        </w:rPr>
        <w:t>Enron North America Corp. (“ENA”)</w:t>
      </w:r>
    </w:p>
    <w:p>
      <w:pPr>
        <w:pStyle w:val="Normal"/>
        <w:rPr>
          <w:sz w:val="22"/>
        </w:rPr>
      </w:pPr>
      <w:r>
        <w:rPr>
          <w:sz w:val="22"/>
        </w:rPr>
      </w:r>
    </w:p>
    <w:p>
      <w:pPr>
        <w:pStyle w:val="Heading1"/>
        <w:ind w:hanging="0" w:start="0"/>
        <w:rPr>
          <w:smallCaps/>
          <w:u w:val="none"/>
        </w:rPr>
      </w:pPr>
      <w:r>
        <w:rPr>
          <w:smallCaps/>
          <w:u w:val="none"/>
        </w:rPr>
        <w:t>General Description of Transaction</w:t>
      </w:r>
    </w:p>
    <w:p>
      <w:pPr>
        <w:pStyle w:val="Normal"/>
        <w:rPr>
          <w:b/>
          <w:smallCaps/>
          <w:sz w:val="22"/>
          <w:u w:val="none"/>
        </w:rPr>
      </w:pPr>
      <w:r>
        <w:rPr>
          <w:b/>
          <w:smallCaps/>
          <w:sz w:val="22"/>
          <w:u w:val="none"/>
        </w:rPr>
      </w:r>
    </w:p>
    <w:p>
      <w:pPr>
        <w:pStyle w:val="BodyText3"/>
        <w:jc w:val="both"/>
        <w:rPr/>
      </w:pPr>
      <w:r>
        <w:rPr/>
        <w:t xml:space="preserve">This proposal contemplates the creation of an independent load serving entity (“LSE”) special purpose vehicle (“SPV”) and a corresponding control area that would manage MSCG’s obligation to serve Oglethorpe load, manage MSCG’s Georgia ITS rights, and economically dispatch certain generation resources.  The SPV will be co-owned by MSCG and ENA such that the equity owners will share the incremental economic benefits resulting from the formation and operation of the SPV.  It is anticipated that the SPV will economically benefit from its parking and lending rights and LSE transmission rights, which include access to the Capacity Benefit Margin.  Geographic areas could possibly include Florida, Georgia, Alabama, Mississippi, North Carolina, South Carolina, Tennessee, Kentucky, and Virginia.  </w:t>
      </w:r>
    </w:p>
    <w:p>
      <w:pPr>
        <w:pStyle w:val="BodyText3"/>
        <w:rPr/>
      </w:pPr>
      <w:r>
        <w:rPr/>
      </w:r>
    </w:p>
    <w:p>
      <w:pPr>
        <w:pStyle w:val="Heading1"/>
        <w:ind w:hanging="0" w:start="0"/>
        <w:rPr>
          <w:smallCaps/>
        </w:rPr>
      </w:pPr>
      <w:r>
        <w:rPr>
          <w:smallCaps/>
        </w:rPr>
      </w:r>
    </w:p>
    <w:p>
      <w:pPr>
        <w:pStyle w:val="Heading1"/>
        <w:ind w:hanging="0" w:start="0"/>
        <w:rPr>
          <w:smallCaps/>
          <w:u w:val="none"/>
        </w:rPr>
      </w:pPr>
      <w:r>
        <w:rPr>
          <w:smallCaps/>
          <w:u w:val="none"/>
        </w:rPr>
        <w:t>Term</w:t>
      </w:r>
    </w:p>
    <w:p>
      <w:pPr>
        <w:pStyle w:val="Normal"/>
        <w:rPr>
          <w:smallCaps/>
          <w:u w:val="none"/>
        </w:rPr>
      </w:pPr>
      <w:r>
        <w:rPr>
          <w:smallCaps/>
          <w:u w:val="none"/>
        </w:rPr>
      </w:r>
    </w:p>
    <w:p>
      <w:pPr>
        <w:pStyle w:val="BodyText2"/>
        <w:widowControl/>
        <w:tabs>
          <w:tab w:val="clear" w:pos="360"/>
        </w:tabs>
        <w:rPr/>
      </w:pPr>
      <w:r>
        <w:rPr/>
        <w:t xml:space="preserve">The formation of the SPV and operation of the control area will begin in the second quarter of 2001 and continue through December 31, 2005.  The initial term may be extended or terminated by mutual agreement.  The parties acknowledge that regulatory and market changes may negate the benefits that MSCG and/or ENA expects to gain from this relationship and the affected party may be entitled to terminate or receive additional compensation. </w:t>
      </w:r>
    </w:p>
    <w:p>
      <w:pPr>
        <w:pStyle w:val="Normal"/>
        <w:jc w:val="both"/>
        <w:rPr>
          <w:sz w:val="22"/>
        </w:rPr>
      </w:pPr>
      <w:r>
        <w:rPr>
          <w:sz w:val="22"/>
        </w:rPr>
      </w:r>
    </w:p>
    <w:p>
      <w:pPr>
        <w:pStyle w:val="Heading1"/>
        <w:ind w:hanging="0" w:start="0"/>
        <w:rPr>
          <w:smallCaps/>
          <w:sz w:val="22"/>
        </w:rPr>
      </w:pPr>
      <w:r>
        <w:rPr>
          <w:smallCaps/>
          <w:sz w:val="22"/>
        </w:rPr>
      </w:r>
    </w:p>
    <w:p>
      <w:pPr>
        <w:pStyle w:val="Heading1"/>
        <w:ind w:hanging="0" w:start="0"/>
        <w:rPr>
          <w:smallCaps/>
          <w:u w:val="none"/>
        </w:rPr>
      </w:pPr>
      <w:r>
        <w:rPr>
          <w:smallCaps/>
          <w:u w:val="none"/>
        </w:rPr>
        <w:t>Quantity</w:t>
      </w:r>
    </w:p>
    <w:p>
      <w:pPr>
        <w:pStyle w:val="Normal"/>
        <w:rPr>
          <w:smallCaps/>
          <w:u w:val="none"/>
        </w:rPr>
      </w:pPr>
      <w:r>
        <w:rPr>
          <w:smallCaps/>
          <w:u w:val="none"/>
        </w:rPr>
      </w:r>
    </w:p>
    <w:p>
      <w:pPr>
        <w:pStyle w:val="Normal"/>
        <w:jc w:val="both"/>
        <w:rPr>
          <w:sz w:val="22"/>
        </w:rPr>
      </w:pPr>
      <w:r>
        <w:rPr>
          <w:sz w:val="22"/>
        </w:rPr>
        <w:t xml:space="preserve">The initial SPV will be set up to serve [4000]MW of load.  </w:t>
      </w:r>
    </w:p>
    <w:p>
      <w:pPr>
        <w:pStyle w:val="Normal"/>
        <w:jc w:val="both"/>
        <w:rPr>
          <w:sz w:val="22"/>
        </w:rPr>
      </w:pPr>
      <w:r>
        <w:rPr>
          <w:sz w:val="22"/>
        </w:rPr>
      </w:r>
    </w:p>
    <w:p>
      <w:pPr>
        <w:pStyle w:val="Normal"/>
        <w:jc w:val="both"/>
        <w:rPr>
          <w:sz w:val="22"/>
        </w:rPr>
      </w:pPr>
      <w:r>
        <w:rPr>
          <w:sz w:val="22"/>
        </w:rPr>
      </w:r>
    </w:p>
    <w:p>
      <w:pPr>
        <w:pStyle w:val="Heading1"/>
        <w:ind w:hanging="0" w:start="0"/>
        <w:rPr>
          <w:smallCaps/>
          <w:u w:val="none"/>
        </w:rPr>
      </w:pPr>
      <w:r>
        <w:rPr>
          <w:smallCaps/>
          <w:u w:val="none"/>
        </w:rPr>
        <w:t>Party Contributions</w:t>
      </w:r>
    </w:p>
    <w:p>
      <w:pPr>
        <w:pStyle w:val="Normal"/>
        <w:jc w:val="both"/>
        <w:rPr>
          <w:smallCaps/>
          <w:sz w:val="22"/>
          <w:u w:val="none"/>
        </w:rPr>
      </w:pPr>
      <w:r>
        <w:rPr>
          <w:smallCaps/>
          <w:sz w:val="22"/>
          <w:u w:val="none"/>
        </w:rPr>
      </w:r>
    </w:p>
    <w:p>
      <w:pPr>
        <w:pStyle w:val="Normal"/>
        <w:jc w:val="both"/>
        <w:rPr>
          <w:sz w:val="22"/>
        </w:rPr>
      </w:pPr>
      <w:r>
        <w:rPr>
          <w:sz w:val="22"/>
        </w:rPr>
        <w:t xml:space="preserve">MSCG shall provide the SPV with the generation capacity, transmission capacity at the GITS interfaces, ancillary services and the energy required to meet its load obligation. </w:t>
      </w:r>
    </w:p>
    <w:p>
      <w:pPr>
        <w:pStyle w:val="Normal"/>
        <w:jc w:val="both"/>
        <w:rPr>
          <w:sz w:val="22"/>
        </w:rPr>
      </w:pPr>
      <w:r>
        <w:rPr>
          <w:sz w:val="22"/>
        </w:rPr>
      </w:r>
    </w:p>
    <w:p>
      <w:pPr>
        <w:pStyle w:val="Normal"/>
        <w:jc w:val="both"/>
        <w:rPr>
          <w:sz w:val="22"/>
        </w:rPr>
      </w:pPr>
      <w:r>
        <w:rPr>
          <w:sz w:val="22"/>
        </w:rPr>
        <w:t>ENA shall establish and permit a control area to incorporate MSCG’s load, generation resources and transmission agreements.  ENA shall provide all control area services to the SPV including economic dispatch, transmission scheduling, tagging, back office services, etc.</w:t>
      </w:r>
    </w:p>
    <w:p>
      <w:pPr>
        <w:pStyle w:val="Normal"/>
        <w:jc w:val="both"/>
        <w:rPr>
          <w:sz w:val="22"/>
        </w:rPr>
      </w:pPr>
      <w:r>
        <w:rPr>
          <w:sz w:val="22"/>
        </w:rPr>
      </w:r>
    </w:p>
    <w:p>
      <w:pPr>
        <w:pStyle w:val="Normal"/>
        <w:jc w:val="both"/>
        <w:rPr>
          <w:sz w:val="22"/>
        </w:rPr>
      </w:pPr>
      <w:r>
        <w:rPr>
          <w:sz w:val="22"/>
        </w:rPr>
        <w:t xml:space="preserve">ENA and MSCG shall finalize a budget to establish and operate the control area.  The SPV will contract with ENA to provide these control area services; however the economic benefits of ancillary products such as parking, lending, incremental transmission sales, and excess power sales accrue to the benefit of the SPV.  The SPV shall operate independently of MSCG and ENA and will offer these services to third parties at market.   </w:t>
      </w:r>
    </w:p>
    <w:p>
      <w:pPr>
        <w:pStyle w:val="BodyText"/>
        <w:widowControl/>
        <w:rPr>
          <w:i w:val="false"/>
          <w:i w:val="false"/>
          <w:iCs/>
          <w:sz w:val="22"/>
        </w:rPr>
      </w:pPr>
      <w:r>
        <w:rPr>
          <w:i w:val="false"/>
          <w:iCs/>
          <w:sz w:val="22"/>
        </w:rPr>
      </w:r>
    </w:p>
    <w:p>
      <w:pPr>
        <w:pStyle w:val="BodyText"/>
        <w:widowControl/>
        <w:rPr>
          <w:b/>
          <w:i w:val="false"/>
          <w:i w:val="false"/>
          <w:sz w:val="22"/>
          <w:u w:val="single"/>
        </w:rPr>
      </w:pPr>
      <w:r>
        <w:rPr>
          <w:i w:val="false"/>
          <w:iCs/>
          <w:sz w:val="22"/>
        </w:rPr>
        <w:t>Other activities are as follows:</w:t>
      </w:r>
    </w:p>
    <w:p>
      <w:pPr>
        <w:pStyle w:val="BodyText"/>
        <w:widowControl/>
        <w:jc w:val="start"/>
        <w:rPr>
          <w:b/>
          <w:i w:val="false"/>
          <w:i w:val="false"/>
          <w:sz w:val="22"/>
          <w:u w:val="single"/>
        </w:rPr>
      </w:pPr>
      <w:r>
        <w:rPr>
          <w:b/>
          <w:i w:val="false"/>
          <w:sz w:val="22"/>
          <w:u w:val="single"/>
        </w:rPr>
      </w:r>
    </w:p>
    <w:tbl>
      <w:tblPr>
        <w:tblW w:w="9720" w:type="dxa"/>
        <w:jc w:val="start"/>
        <w:tblInd w:w="18" w:type="dxa"/>
        <w:tblLayout w:type="fixed"/>
        <w:tblCellMar>
          <w:top w:w="0" w:type="dxa"/>
          <w:start w:w="108" w:type="dxa"/>
          <w:bottom w:w="0" w:type="dxa"/>
          <w:end w:w="108" w:type="dxa"/>
        </w:tblCellMar>
      </w:tblPr>
      <w:tblGrid>
        <w:gridCol w:w="2250"/>
        <w:gridCol w:w="2970"/>
        <w:gridCol w:w="4500"/>
      </w:tblGrid>
      <w:tr>
        <w:trPr>
          <w:trHeight w:val="504" w:hRule="atLeast"/>
        </w:trPr>
        <w:tc>
          <w:tcPr>
            <w:tcW w:w="2250" w:type="dxa"/>
            <w:tcBorders>
              <w:bottom w:val="single" w:sz="6" w:space="0" w:color="000000"/>
              <w:end w:val="single" w:sz="6" w:space="0" w:color="000000"/>
            </w:tcBorders>
          </w:tcPr>
          <w:p>
            <w:pPr>
              <w:pStyle w:val="BodyText"/>
              <w:widowControl/>
              <w:jc w:val="start"/>
              <w:rPr>
                <w:b/>
                <w:i w:val="false"/>
                <w:i w:val="false"/>
                <w:sz w:val="20"/>
              </w:rPr>
            </w:pPr>
            <w:r>
              <w:rPr>
                <w:b/>
                <w:i w:val="false"/>
                <w:sz w:val="20"/>
              </w:rPr>
              <w:t xml:space="preserve">Major Activities </w:t>
            </w:r>
          </w:p>
        </w:tc>
        <w:tc>
          <w:tcPr>
            <w:tcW w:w="2970" w:type="dxa"/>
            <w:tcBorders>
              <w:start w:val="single" w:sz="6" w:space="0" w:color="000000"/>
              <w:bottom w:val="single" w:sz="6" w:space="0" w:color="000000"/>
              <w:end w:val="single" w:sz="6" w:space="0" w:color="000000"/>
            </w:tcBorders>
          </w:tcPr>
          <w:p>
            <w:pPr>
              <w:pStyle w:val="BodyText"/>
              <w:widowControl/>
              <w:jc w:val="center"/>
              <w:rPr>
                <w:b/>
                <w:i w:val="false"/>
                <w:i w:val="false"/>
                <w:sz w:val="20"/>
              </w:rPr>
            </w:pPr>
            <w:r>
              <w:rPr>
                <w:b/>
                <w:i w:val="false"/>
                <w:sz w:val="20"/>
              </w:rPr>
              <w:t>MSCG</w:t>
            </w:r>
          </w:p>
        </w:tc>
        <w:tc>
          <w:tcPr>
            <w:tcW w:w="4500" w:type="dxa"/>
            <w:tcBorders>
              <w:start w:val="single" w:sz="6" w:space="0" w:color="000000"/>
              <w:bottom w:val="single" w:sz="6" w:space="0" w:color="000000"/>
            </w:tcBorders>
          </w:tcPr>
          <w:p>
            <w:pPr>
              <w:pStyle w:val="BodyText"/>
              <w:widowControl/>
              <w:jc w:val="center"/>
              <w:rPr>
                <w:b/>
                <w:i w:val="false"/>
                <w:i w:val="false"/>
                <w:sz w:val="20"/>
              </w:rPr>
            </w:pPr>
            <w:r>
              <w:rPr>
                <w:b/>
                <w:i w:val="false"/>
                <w:sz w:val="20"/>
              </w:rPr>
              <w:t>ENA</w:t>
            </w:r>
          </w:p>
        </w:tc>
      </w:tr>
      <w:tr>
        <w:trPr>
          <w:trHeight w:val="876"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Control area responsibilities</w:t>
            </w:r>
          </w:p>
        </w:tc>
        <w:tc>
          <w:tcPr>
            <w:tcW w:w="297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 xml:space="preserve">Define load delivery points, transmission services, interfaces and generation resources.  </w:t>
            </w:r>
          </w:p>
        </w:tc>
        <w:tc>
          <w:tcPr>
            <w:tcW w:w="450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 xml:space="preserve">Propose budget for control area services that will include IT requirements and regulatory requirements such as ancillary services and reserves.  </w:t>
            </w:r>
          </w:p>
        </w:tc>
      </w:tr>
      <w:tr>
        <w:trPr>
          <w:trHeight w:val="705"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Incremental transmission</w:t>
            </w:r>
          </w:p>
        </w:tc>
        <w:tc>
          <w:tcPr>
            <w:tcW w:w="297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 xml:space="preserve">Decide on quantity of incremental transmission requirement. </w:t>
            </w:r>
          </w:p>
        </w:tc>
        <w:tc>
          <w:tcPr>
            <w:tcW w:w="450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Request transmission from provider(s).</w:t>
            </w:r>
          </w:p>
        </w:tc>
      </w:tr>
      <w:tr>
        <w:trPr>
          <w:trHeight w:val="615"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 xml:space="preserve">SPV </w:t>
            </w:r>
          </w:p>
        </w:tc>
        <w:tc>
          <w:tcPr>
            <w:tcW w:w="297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Agree on ownership structure, control structure, cost structure, operating parameters, etc.  Incremental cost/benefit to be shared by SPV owners.  Base cost/benefits to be allocated to affected party.</w:t>
            </w:r>
          </w:p>
        </w:tc>
        <w:tc>
          <w:tcPr>
            <w:tcW w:w="450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 xml:space="preserve">Same </w:t>
            </w:r>
          </w:p>
        </w:tc>
      </w:tr>
      <w:tr>
        <w:trPr>
          <w:trHeight w:val="993"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Asset accounting option</w:t>
            </w:r>
          </w:p>
        </w:tc>
        <w:tc>
          <w:tcPr>
            <w:tcW w:w="297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 xml:space="preserve">Potential accounting benefit to having SPV own an asset(s) and return market-based, system-contingent contracts.  Determine assets and resulting agreements to owner. </w:t>
            </w:r>
          </w:p>
        </w:tc>
        <w:tc>
          <w:tcPr>
            <w:tcW w:w="450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Same</w:t>
            </w:r>
          </w:p>
        </w:tc>
      </w:tr>
      <w:tr>
        <w:trPr>
          <w:trHeight w:val="1335"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 xml:space="preserve">GITS </w:t>
            </w:r>
          </w:p>
        </w:tc>
        <w:tc>
          <w:tcPr>
            <w:tcW w:w="297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Negotiate required legal or procedural changes to ensure that existing network service rights conform with control area obligations.</w:t>
            </w:r>
          </w:p>
        </w:tc>
        <w:tc>
          <w:tcPr>
            <w:tcW w:w="450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Inform MSCG of necessary legal or procedural changes to incorporate existing transmission rights.</w:t>
            </w:r>
          </w:p>
          <w:p>
            <w:pPr>
              <w:pStyle w:val="BodyText"/>
              <w:widowControl/>
              <w:jc w:val="start"/>
              <w:rPr>
                <w:i w:val="false"/>
                <w:i w:val="false"/>
                <w:sz w:val="20"/>
              </w:rPr>
            </w:pPr>
            <w:r>
              <w:rPr>
                <w:i w:val="false"/>
                <w:sz w:val="20"/>
              </w:rPr>
            </w:r>
          </w:p>
        </w:tc>
      </w:tr>
      <w:tr>
        <w:trPr>
          <w:trHeight w:val="1164" w:hRule="atLeast"/>
        </w:trPr>
        <w:tc>
          <w:tcPr>
            <w:tcW w:w="2250" w:type="dxa"/>
            <w:tcBorders>
              <w:top w:val="single" w:sz="6" w:space="0" w:color="000000"/>
              <w:end w:val="single" w:sz="6" w:space="0" w:color="000000"/>
            </w:tcBorders>
          </w:tcPr>
          <w:p>
            <w:pPr>
              <w:pStyle w:val="BodyText"/>
              <w:widowControl/>
              <w:jc w:val="start"/>
              <w:rPr>
                <w:b/>
                <w:i w:val="false"/>
                <w:i w:val="false"/>
                <w:sz w:val="20"/>
              </w:rPr>
            </w:pPr>
            <w:r>
              <w:rPr>
                <w:b/>
                <w:i w:val="false"/>
                <w:sz w:val="20"/>
              </w:rPr>
              <w:t>Plant/generation entitlement operations</w:t>
            </w:r>
          </w:p>
        </w:tc>
        <w:tc>
          <w:tcPr>
            <w:tcW w:w="2970" w:type="dxa"/>
            <w:tcBorders>
              <w:top w:val="single" w:sz="6" w:space="0" w:color="000000"/>
              <w:start w:val="single" w:sz="6" w:space="0" w:color="000000"/>
              <w:end w:val="single" w:sz="6" w:space="0" w:color="000000"/>
            </w:tcBorders>
          </w:tcPr>
          <w:p>
            <w:pPr>
              <w:pStyle w:val="BodyText"/>
              <w:widowControl/>
              <w:jc w:val="start"/>
              <w:rPr>
                <w:i w:val="false"/>
                <w:i w:val="false"/>
                <w:sz w:val="20"/>
              </w:rPr>
            </w:pPr>
            <w:r>
              <w:rPr>
                <w:i w:val="false"/>
                <w:sz w:val="20"/>
              </w:rPr>
              <w:t xml:space="preserve">Negotiate contractual, IT and scheduling changes to allow dispatch of generation resources/ entitlements by the control area.  This includes ramping and sharing reserves.   </w:t>
            </w:r>
          </w:p>
        </w:tc>
        <w:tc>
          <w:tcPr>
            <w:tcW w:w="4500" w:type="dxa"/>
            <w:tcBorders>
              <w:top w:val="single" w:sz="6" w:space="0" w:color="000000"/>
              <w:start w:val="single" w:sz="6" w:space="0" w:color="000000"/>
            </w:tcBorders>
          </w:tcPr>
          <w:p>
            <w:pPr>
              <w:pStyle w:val="BodyText"/>
              <w:widowControl/>
              <w:jc w:val="start"/>
              <w:rPr>
                <w:i w:val="false"/>
                <w:i w:val="false"/>
                <w:sz w:val="20"/>
              </w:rPr>
            </w:pPr>
            <w:r>
              <w:rPr>
                <w:i w:val="false"/>
                <w:sz w:val="20"/>
              </w:rPr>
              <w:t xml:space="preserve">Provide MSCG with requirements regarding generation services to meet control area requirements and IT specifications for integration. </w:t>
            </w:r>
          </w:p>
        </w:tc>
      </w:tr>
    </w:tbl>
    <w:p>
      <w:pPr>
        <w:pStyle w:val="BodyText"/>
        <w:widowControl/>
        <w:jc w:val="start"/>
        <w:rPr>
          <w:i w:val="false"/>
          <w:i w:val="false"/>
          <w:sz w:val="16"/>
        </w:rPr>
      </w:pPr>
      <w:r>
        <w:rPr>
          <w:i w:val="false"/>
          <w:sz w:val="16"/>
        </w:rPr>
      </w:r>
    </w:p>
    <w:p>
      <w:pPr>
        <w:pStyle w:val="Normal"/>
        <w:jc w:val="both"/>
        <w:rPr>
          <w:i/>
          <w:i/>
          <w:sz w:val="22"/>
          <w:u w:val="single"/>
        </w:rPr>
      </w:pPr>
      <w:r>
        <w:rPr>
          <w:i/>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smallCaps/>
          <w:u w:val="none"/>
        </w:rPr>
      </w:pPr>
      <w:r>
        <w:rPr>
          <w:smallCaps/>
          <w:u w:val="none"/>
        </w:rPr>
        <w:t xml:space="preserve">Key Issues </w:t>
      </w:r>
    </w:p>
    <w:p>
      <w:pPr>
        <w:pStyle w:val="Normal"/>
        <w:jc w:val="center"/>
        <w:rPr>
          <w:b/>
          <w:smallCaps/>
          <w:sz w:val="22"/>
          <w:u w:val="none"/>
        </w:rPr>
      </w:pPr>
      <w:r>
        <w:rPr>
          <w:b/>
          <w:smallCaps/>
          <w:sz w:val="22"/>
          <w:u w:val="none"/>
        </w:rPr>
      </w:r>
    </w:p>
    <w:p>
      <w:pPr>
        <w:pStyle w:val="BodyText3"/>
        <w:widowControl/>
        <w:rPr/>
      </w:pPr>
      <w:r>
        <w:rPr/>
        <w:t>The benefits of this transaction are predicated on the following:</w:t>
      </w:r>
    </w:p>
    <w:p>
      <w:pPr>
        <w:pStyle w:val="BodyText3"/>
        <w:widowControl/>
        <w:rPr/>
      </w:pPr>
      <w:r>
        <w:rPr/>
      </w:r>
    </w:p>
    <w:p>
      <w:pPr>
        <w:pStyle w:val="BodyText3"/>
        <w:widowControl/>
        <w:numPr>
          <w:ilvl w:val="0"/>
          <w:numId w:val="2"/>
        </w:numPr>
        <w:rPr/>
      </w:pPr>
      <w:r>
        <w:rPr/>
        <w:t>formation of an independent load serving entity and control area</w:t>
      </w:r>
    </w:p>
    <w:p>
      <w:pPr>
        <w:pStyle w:val="BodyText3"/>
        <w:widowControl/>
        <w:numPr>
          <w:ilvl w:val="0"/>
          <w:numId w:val="2"/>
        </w:numPr>
        <w:rPr/>
      </w:pPr>
      <w:r>
        <w:rPr/>
        <w:t>monetization of incremental value resulting from parking and lending opportunities, sale of unused transmission rights on the GITS and access to incremental firm transmission</w:t>
      </w:r>
    </w:p>
    <w:p>
      <w:pPr>
        <w:pStyle w:val="BodyText3"/>
        <w:widowControl/>
        <w:numPr>
          <w:ilvl w:val="0"/>
          <w:numId w:val="2"/>
        </w:numPr>
        <w:rPr/>
      </w:pPr>
      <w:r>
        <w:rPr/>
        <w:t>neutral to low cost compliance of control area obligations and LSE responsibilities via existing GITS rights, existing generation entitlements and ENA’s existing control area infrastructure</w:t>
      </w:r>
    </w:p>
    <w:p>
      <w:pPr>
        <w:pStyle w:val="BodyText3"/>
        <w:widowControl/>
        <w:numPr>
          <w:ilvl w:val="0"/>
          <w:numId w:val="2"/>
        </w:numPr>
        <w:rPr/>
      </w:pPr>
      <w:r>
        <w:rPr/>
        <w:t xml:space="preserve">duration of existing regulatory environment sufficient to justify incremental costs  </w:t>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BodyText"/>
        <w:rPr>
          <w:b/>
        </w:rPr>
      </w:pPr>
      <w:r>
        <w:rPr>
          <w:b/>
        </w:rPr>
        <w:t>THIS SUMMARY OF TERMS AND CONDITIONS IS ONE ATTACHMENT TO A LETTER OF INTENT DATED _____  __, 2001, AND IS NOT TO BE CONSIDERED SEPARATELY FROM SUCH LETTER.  EXCEPT AS SET OUT IN SUCH LETTER, THE LETTER OF INTENT AND THE ATTACHMENTS THERETO ARE NOT INTENDED TO BE COMPLETE AND ALL-INCLUSIVE OF THE TERMS OF THE PROPOSED TRANSACTION, NOR DOES SUCH LETTER OR THE ATTACHMENTS CREATE A BINDING AND ENFORCEABLE CONTRACT BETWEEN OR COMMITMENT OR OFFER TO ANY PARTY OR PARTIES.</w:t>
      </w:r>
    </w:p>
    <w:p>
      <w:pPr>
        <w:pStyle w:val="Normal"/>
        <w:jc w:val="both"/>
        <w:rPr>
          <w:b/>
          <w:sz w:val="22"/>
          <w:u w:val="single"/>
        </w:rPr>
      </w:pPr>
      <w:r>
        <w:rPr>
          <w:b/>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MSCG_feb_6.doc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MSCG_feb_6.doc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 xml:space="preserve">DRAFT </w:t>
    </w:r>
  </w:p>
  <w:p>
    <w:pPr>
      <w:pStyle w:val="Header"/>
      <w:tabs>
        <w:tab w:val="clear" w:pos="4320"/>
        <w:tab w:val="clear" w:pos="8640"/>
        <w:tab w:val="right" w:pos="9540" w:leader="none"/>
        <w:tab w:val="right" w:pos="9630" w:leader="none"/>
      </w:tabs>
      <w:jc w:val="end"/>
      <w:rPr>
        <w:b/>
      </w:rPr>
    </w:pPr>
    <w:r>
      <w:rPr>
        <w:b/>
      </w:rPr>
      <w:tab/>
      <w:t>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u w:val="single"/>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widowControl w:val="false"/>
      <w:tabs>
        <w:tab w:val="clear" w:pos="720"/>
        <w:tab w:val="left" w:pos="360" w:leader="none"/>
      </w:tabs>
      <w:jc w:val="both"/>
    </w:pPr>
    <w:rPr>
      <w:sz w:val="22"/>
    </w:rPr>
  </w:style>
  <w:style w:type="paragraph" w:styleId="BodyText3">
    <w:name w:val="Body Text 3"/>
    <w:basedOn w:val="Normal"/>
    <w:qFormat/>
    <w:pPr>
      <w:widowControl w:val="false"/>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2001-02-06T12:25:00Z</dcterms:created>
  <dc:creator>ECT</dc:creator>
  <dc:description/>
  <dc:language>en-CA</dc:language>
  <cp:lastModifiedBy>kmann</cp:lastModifiedBy>
  <cp:lastPrinted>2001-02-06T08:55:00Z</cp:lastPrinted>
  <dcterms:modified xsi:type="dcterms:W3CDTF">2001-02-06T12:35:00Z</dcterms:modified>
  <cp:revision>3</cp:revision>
  <dc:subject/>
  <dc:title>[ECT Letterhead]</dc:title>
</cp:coreProperties>
</file>