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widowControl/>
        <w:ind w:hanging="0" w:start="0"/>
        <w:jc w:val="center"/>
        <w:rPr>
          <w:sz w:val="24"/>
        </w:rPr>
      </w:pPr>
      <w:r>
        <w:rPr>
          <w:sz w:val="24"/>
        </w:rPr>
        <w:t>Market Risk Management Group</w:t>
      </w:r>
    </w:p>
    <w:p>
      <w:pPr>
        <w:pStyle w:val="Heading4"/>
        <w:ind w:hanging="0" w:start="0"/>
        <w:jc w:val="center"/>
        <w:rPr/>
      </w:pPr>
      <w:r>
        <w:rPr/>
        <w:t>Business Risk Management (BRM) Project Reporting Format</w:t>
      </w:r>
    </w:p>
    <w:p>
      <w:pPr>
        <w:pStyle w:val="Normal"/>
        <w:jc w:val="center"/>
        <w:rPr/>
      </w:pPr>
      <w:r>
        <w:rPr/>
      </w:r>
    </w:p>
    <w:p>
      <w:pPr>
        <w:pStyle w:val="Normal"/>
        <w:rPr>
          <w:rFonts w:eastAsia="Book Antiqua"/>
        </w:rPr>
      </w:pPr>
      <w:r>
        <w:rPr>
          <w:rFonts w:eastAsia="Book Antiqua"/>
        </w:rPr>
        <w:t xml:space="preserve">          </w:t>
      </w:r>
    </w:p>
    <w:p>
      <w:pPr>
        <w:pStyle w:val="Normal"/>
        <w:rPr/>
      </w:pPr>
      <w:r>
        <w:rPr/>
      </w:r>
    </w:p>
    <w:tbl>
      <w:tblPr>
        <w:tblW w:w="18918" w:type="dxa"/>
        <w:jc w:val="start"/>
        <w:tblInd w:w="0" w:type="dxa"/>
        <w:tblLayout w:type="fixed"/>
        <w:tblCellMar>
          <w:top w:w="0" w:type="dxa"/>
          <w:start w:w="108" w:type="dxa"/>
          <w:bottom w:w="0" w:type="dxa"/>
          <w:end w:w="108" w:type="dxa"/>
        </w:tblCellMar>
      </w:tblPr>
      <w:tblGrid>
        <w:gridCol w:w="18918"/>
      </w:tblGrid>
      <w:tr>
        <w:trPr/>
        <w:tc>
          <w:tcPr>
            <w:tcW w:w="18918" w:type="dxa"/>
            <w:tcBorders>
              <w:top w:val="single" w:sz="4" w:space="0" w:color="000000"/>
              <w:start w:val="single" w:sz="4" w:space="0" w:color="000000"/>
              <w:bottom w:val="single" w:sz="4" w:space="0" w:color="000000"/>
              <w:end w:val="single" w:sz="4" w:space="0" w:color="000000"/>
            </w:tcBorders>
            <w:shd w:fill="FFFF00" w:val="clear"/>
          </w:tcPr>
          <w:p>
            <w:pPr>
              <w:pStyle w:val="Heading5"/>
              <w:ind w:hanging="0" w:start="0"/>
              <w:rPr>
                <w:i w:val="false"/>
                <w:i w:val="false"/>
                <w:sz w:val="24"/>
              </w:rPr>
            </w:pPr>
            <w:r>
              <w:rPr>
                <w:i w:val="false"/>
                <w:sz w:val="24"/>
              </w:rPr>
              <w:t>Project Objective</w:t>
            </w:r>
          </w:p>
        </w:tc>
      </w:tr>
      <w:tr>
        <w:trPr/>
        <w:tc>
          <w:tcPr>
            <w:tcW w:w="18918"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To identify and test the key policies, procedures, and controls related to the Market Risk Management Group’s responsibility to identify market risks, report market risks to management, and administer the Enron Corp. Risk Management Policy.</w:t>
            </w:r>
          </w:p>
        </w:tc>
      </w:tr>
    </w:tbl>
    <w:p>
      <w:pPr>
        <w:pStyle w:val="Normal"/>
        <w:rPr/>
      </w:pPr>
      <w:r>
        <w:rPr/>
      </w:r>
    </w:p>
    <w:tbl>
      <w:tblPr>
        <w:tblW w:w="18918" w:type="dxa"/>
        <w:jc w:val="start"/>
        <w:tblInd w:w="0" w:type="dxa"/>
        <w:tblLayout w:type="fixed"/>
        <w:tblCellMar>
          <w:top w:w="0" w:type="dxa"/>
          <w:start w:w="108" w:type="dxa"/>
          <w:bottom w:w="0" w:type="dxa"/>
          <w:end w:w="108" w:type="dxa"/>
        </w:tblCellMar>
      </w:tblPr>
      <w:tblGrid>
        <w:gridCol w:w="1548"/>
        <w:gridCol w:w="1350"/>
        <w:gridCol w:w="1530"/>
        <w:gridCol w:w="2880"/>
        <w:gridCol w:w="1350"/>
        <w:gridCol w:w="2970"/>
        <w:gridCol w:w="3240"/>
        <w:gridCol w:w="4050"/>
      </w:tblGrid>
      <w:tr>
        <w:trPr>
          <w:tblHeader w:val="true"/>
        </w:trPr>
        <w:tc>
          <w:tcPr>
            <w:tcW w:w="1548" w:type="dxa"/>
            <w:tcBorders>
              <w:top w:val="single" w:sz="6" w:space="0" w:color="000000"/>
              <w:start w:val="single" w:sz="6" w:space="0" w:color="000000"/>
              <w:bottom w:val="single" w:sz="6" w:space="0" w:color="000000"/>
              <w:end w:val="single" w:sz="6" w:space="0" w:color="000000"/>
            </w:tcBorders>
            <w:shd w:fill="FFFF00" w:val="clear"/>
          </w:tcPr>
          <w:p>
            <w:pPr>
              <w:pStyle w:val="Heading5"/>
              <w:widowControl/>
              <w:ind w:hanging="0" w:start="0"/>
              <w:jc w:val="center"/>
              <w:rPr>
                <w:i w:val="false"/>
                <w:i w:val="false"/>
                <w:sz w:val="24"/>
              </w:rPr>
            </w:pPr>
            <w:r>
              <w:rPr>
                <w:i w:val="false"/>
                <w:sz w:val="24"/>
              </w:rPr>
              <w:t>Project Name</w:t>
            </w:r>
          </w:p>
        </w:tc>
        <w:tc>
          <w:tcPr>
            <w:tcW w:w="1350" w:type="dxa"/>
            <w:tcBorders>
              <w:top w:val="single" w:sz="6" w:space="0" w:color="000000"/>
              <w:start w:val="single" w:sz="6" w:space="0" w:color="000000"/>
              <w:bottom w:val="single" w:sz="6" w:space="0" w:color="000000"/>
              <w:end w:val="single" w:sz="6" w:space="0" w:color="000000"/>
            </w:tcBorders>
            <w:shd w:fill="FFFF00" w:val="clear"/>
          </w:tcPr>
          <w:p>
            <w:pPr>
              <w:pStyle w:val="Heading5"/>
              <w:widowControl/>
              <w:ind w:hanging="0" w:start="0"/>
              <w:jc w:val="center"/>
              <w:rPr>
                <w:i w:val="false"/>
                <w:i w:val="false"/>
                <w:sz w:val="24"/>
              </w:rPr>
            </w:pPr>
            <w:r>
              <w:rPr>
                <w:i w:val="false"/>
                <w:sz w:val="24"/>
              </w:rPr>
              <w:t>Risk Area</w:t>
            </w:r>
          </w:p>
        </w:tc>
        <w:tc>
          <w:tcPr>
            <w:tcW w:w="1530" w:type="dxa"/>
            <w:tcBorders>
              <w:top w:val="single" w:sz="6" w:space="0" w:color="000000"/>
              <w:start w:val="single" w:sz="6" w:space="0" w:color="000000"/>
              <w:bottom w:val="single" w:sz="6" w:space="0" w:color="000000"/>
              <w:end w:val="single" w:sz="6" w:space="0" w:color="000000"/>
            </w:tcBorders>
            <w:shd w:fill="FFFF00" w:val="clear"/>
          </w:tcPr>
          <w:p>
            <w:pPr>
              <w:pStyle w:val="Heading5"/>
              <w:widowControl/>
              <w:ind w:hanging="0" w:start="0"/>
              <w:jc w:val="center"/>
              <w:rPr>
                <w:i w:val="false"/>
                <w:i w:val="false"/>
                <w:sz w:val="24"/>
              </w:rPr>
            </w:pPr>
            <w:r>
              <w:rPr>
                <w:i w:val="false"/>
                <w:sz w:val="24"/>
              </w:rPr>
              <w:t>Target Activity</w:t>
            </w:r>
          </w:p>
        </w:tc>
        <w:tc>
          <w:tcPr>
            <w:tcW w:w="2880" w:type="dxa"/>
            <w:tcBorders>
              <w:top w:val="single" w:sz="6" w:space="0" w:color="000000"/>
              <w:start w:val="single" w:sz="6" w:space="0" w:color="000000"/>
              <w:bottom w:val="single" w:sz="6" w:space="0" w:color="000000"/>
              <w:end w:val="single" w:sz="6" w:space="0" w:color="000000"/>
            </w:tcBorders>
            <w:shd w:fill="FF0000" w:val="clear"/>
          </w:tcPr>
          <w:p>
            <w:pPr>
              <w:pStyle w:val="Heading5"/>
              <w:widowControl/>
              <w:ind w:hanging="0" w:start="0"/>
              <w:jc w:val="center"/>
              <w:rPr>
                <w:i w:val="false"/>
                <w:i w:val="false"/>
                <w:sz w:val="24"/>
              </w:rPr>
            </w:pPr>
            <w:r>
              <w:rPr>
                <w:i w:val="false"/>
                <w:sz w:val="24"/>
              </w:rPr>
              <w:t>Specific Risk Objective</w:t>
            </w:r>
          </w:p>
        </w:tc>
        <w:tc>
          <w:tcPr>
            <w:tcW w:w="1350" w:type="dxa"/>
            <w:tcBorders>
              <w:top w:val="single" w:sz="6" w:space="0" w:color="000000"/>
              <w:start w:val="single" w:sz="6" w:space="0" w:color="000000"/>
              <w:bottom w:val="single" w:sz="6" w:space="0" w:color="000000"/>
              <w:end w:val="single" w:sz="6" w:space="0" w:color="000000"/>
            </w:tcBorders>
            <w:shd w:fill="FF0000" w:val="clear"/>
          </w:tcPr>
          <w:p>
            <w:pPr>
              <w:pStyle w:val="Heading5"/>
              <w:widowControl/>
              <w:ind w:hanging="0" w:start="0"/>
              <w:jc w:val="center"/>
              <w:rPr>
                <w:i w:val="false"/>
                <w:i w:val="false"/>
                <w:sz w:val="24"/>
              </w:rPr>
            </w:pPr>
            <w:r>
              <w:rPr>
                <w:i w:val="false"/>
                <w:sz w:val="24"/>
              </w:rPr>
              <w:t>Objective Met?</w:t>
            </w:r>
          </w:p>
        </w:tc>
        <w:tc>
          <w:tcPr>
            <w:tcW w:w="2970" w:type="dxa"/>
            <w:tcBorders>
              <w:top w:val="single" w:sz="6" w:space="0" w:color="000000"/>
              <w:start w:val="single" w:sz="6" w:space="0" w:color="000000"/>
              <w:bottom w:val="single" w:sz="6" w:space="0" w:color="000000"/>
              <w:end w:val="single" w:sz="6" w:space="0" w:color="000000"/>
            </w:tcBorders>
            <w:shd w:fill="800080" w:val="clear"/>
          </w:tcPr>
          <w:p>
            <w:pPr>
              <w:pStyle w:val="Heading5"/>
              <w:widowControl/>
              <w:ind w:hanging="0" w:start="0"/>
              <w:jc w:val="center"/>
              <w:rPr>
                <w:i w:val="false"/>
                <w:i w:val="false"/>
                <w:sz w:val="24"/>
              </w:rPr>
            </w:pPr>
            <w:r>
              <w:rPr>
                <w:i w:val="false"/>
                <w:sz w:val="24"/>
              </w:rPr>
              <w:t>Existing Control(s)</w:t>
            </w:r>
          </w:p>
        </w:tc>
        <w:tc>
          <w:tcPr>
            <w:tcW w:w="3240" w:type="dxa"/>
            <w:tcBorders>
              <w:top w:val="single" w:sz="6" w:space="0" w:color="000000"/>
              <w:start w:val="single" w:sz="6" w:space="0" w:color="000000"/>
              <w:bottom w:val="single" w:sz="6" w:space="0" w:color="000000"/>
              <w:end w:val="single" w:sz="6" w:space="0" w:color="000000"/>
            </w:tcBorders>
            <w:shd w:fill="0000FF" w:val="clear"/>
          </w:tcPr>
          <w:p>
            <w:pPr>
              <w:pStyle w:val="Heading5"/>
              <w:widowControl/>
              <w:ind w:hanging="0" w:start="0"/>
              <w:jc w:val="center"/>
              <w:rPr>
                <w:i w:val="false"/>
                <w:i w:val="false"/>
                <w:sz w:val="24"/>
              </w:rPr>
            </w:pPr>
            <w:r>
              <w:rPr>
                <w:i w:val="false"/>
                <w:sz w:val="24"/>
              </w:rPr>
              <w:t>Findings</w:t>
            </w:r>
          </w:p>
        </w:tc>
        <w:tc>
          <w:tcPr>
            <w:tcW w:w="4050" w:type="dxa"/>
            <w:tcBorders>
              <w:top w:val="single" w:sz="6" w:space="0" w:color="000000"/>
              <w:start w:val="single" w:sz="6" w:space="0" w:color="000000"/>
              <w:bottom w:val="single" w:sz="6" w:space="0" w:color="000000"/>
              <w:end w:val="single" w:sz="6" w:space="0" w:color="000000"/>
            </w:tcBorders>
            <w:shd w:fill="00FFFF" w:val="clear"/>
          </w:tcPr>
          <w:p>
            <w:pPr>
              <w:pStyle w:val="Heading5"/>
              <w:ind w:hanging="0" w:start="0"/>
              <w:jc w:val="center"/>
              <w:rPr>
                <w:i w:val="false"/>
                <w:i w:val="false"/>
                <w:sz w:val="24"/>
              </w:rPr>
            </w:pPr>
            <w:r>
              <w:rPr>
                <w:i w:val="false"/>
                <w:sz w:val="24"/>
              </w:rPr>
              <w:t>Recommendation,</w:t>
            </w:r>
          </w:p>
          <w:p>
            <w:pPr>
              <w:pStyle w:val="Heading5"/>
              <w:ind w:hanging="0" w:start="0"/>
              <w:jc w:val="center"/>
              <w:rPr>
                <w:i w:val="false"/>
                <w:i w:val="false"/>
                <w:sz w:val="24"/>
              </w:rPr>
            </w:pPr>
            <w:r>
              <w:rPr>
                <w:i w:val="false"/>
                <w:sz w:val="24"/>
              </w:rPr>
              <w:t>Person &amp; Target Date</w:t>
            </w:r>
          </w:p>
        </w:tc>
      </w:tr>
      <w:tr>
        <w:trPr>
          <w:trHeight w:val="5727" w:hRule="atLeast"/>
        </w:trPr>
        <w:tc>
          <w:tcPr>
            <w:tcW w:w="154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b/>
                <w:sz w:val="18"/>
              </w:rPr>
            </w:pPr>
            <w:r>
              <w:rPr>
                <w:b/>
                <w:sz w:val="18"/>
              </w:rPr>
            </w:r>
          </w:p>
        </w:tc>
        <w:tc>
          <w:tcPr>
            <w:tcW w:w="1350"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Strategy/ Business Portfolio</w:t>
            </w:r>
          </w:p>
        </w:tc>
        <w:tc>
          <w:tcPr>
            <w:tcW w:w="1530"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Transaction Commitments</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Policies and procedures are in place to monitor and report limit violations to upper management.</w:t>
            </w:r>
          </w:p>
        </w:tc>
        <w:tc>
          <w:tcPr>
            <w:tcW w:w="135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8"/>
              </w:rPr>
            </w:pPr>
            <w:r>
              <w:rPr>
                <w:sz w:val="18"/>
              </w:rPr>
              <w:t>Yes</w:t>
            </w:r>
          </w:p>
        </w:tc>
        <w:tc>
          <w:tcPr>
            <w:tcW w:w="297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The Risk Management Policy clearly outlines the procedures for documenting and reporting limit violations to the appropriate level of senior management.</w:t>
            </w:r>
          </w:p>
        </w:tc>
        <w:tc>
          <w:tcPr>
            <w:tcW w:w="324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The Market Risk Management function within RAC has been established to independently monitor the company’s exposure to market risk.  Based on BOD approved policies, Market Risk Management has the responsibility to identify and report policy exceptions/violations to senior management. However, in practice, Market Risk Management’s authority to enforce policy provisions and pursue action to alleviate violations causing increased exposure beyond management’s pre-established risk tolerance is minimal. From January 1, 2000 through June 12, 2000 there have been a total of 64 limit violations across all of the Commodity Groups where no tangible action was taken to adjust commercial personnel views regarding the importance of a risk management framework and risk controls environment.</w:t>
            </w:r>
          </w:p>
        </w:tc>
        <w:tc>
          <w:tcPr>
            <w:tcW w:w="405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MRM should be empowered to take plausible actions to ensure commercial personnel engage in trading activities within the preapproved risk parameters. As an intermediate step, recipients of limit violation notifications should acknowledge acceptance of the violation and concurrence with the recommended course of action.</w:t>
            </w:r>
          </w:p>
        </w:tc>
      </w:tr>
      <w:tr>
        <w:trPr>
          <w:trHeight w:val="1965" w:hRule="atLeast"/>
        </w:trPr>
        <w:tc>
          <w:tcPr>
            <w:tcW w:w="154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i/>
                <w:i/>
                <w:color w:val="000000"/>
                <w:sz w:val="18"/>
              </w:rPr>
            </w:pPr>
            <w:r>
              <w:rPr>
                <w:i/>
                <w:color w:val="000000"/>
                <w:sz w:val="18"/>
              </w:rPr>
            </w:r>
          </w:p>
        </w:tc>
        <w:tc>
          <w:tcPr>
            <w:tcW w:w="1350"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Financial Markets</w:t>
            </w:r>
          </w:p>
        </w:tc>
        <w:tc>
          <w:tcPr>
            <w:tcW w:w="1530"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Portfolio Monitoring Analysis &amp; Management</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Market Risks are reported to management as required by the Risk Management Policy</w:t>
            </w:r>
          </w:p>
          <w:p>
            <w:pPr>
              <w:pStyle w:val="Normal"/>
              <w:widowControl/>
              <w:rPr>
                <w:sz w:val="18"/>
              </w:rPr>
            </w:pPr>
            <w:r>
              <w:rPr>
                <w:sz w:val="18"/>
              </w:rPr>
            </w:r>
          </w:p>
        </w:tc>
        <w:tc>
          <w:tcPr>
            <w:tcW w:w="135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8"/>
              </w:rPr>
            </w:pPr>
            <w:r>
              <w:rPr>
                <w:sz w:val="18"/>
              </w:rPr>
              <w:t>Yes</w:t>
            </w:r>
          </w:p>
        </w:tc>
        <w:tc>
          <w:tcPr>
            <w:tcW w:w="297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The Market Risk Management Group ensures that position, VAR, and loss limits are monitored on a daily basis and that limit violations are reported to the appropriate level of management.</w:t>
            </w:r>
          </w:p>
          <w:p>
            <w:pPr>
              <w:pStyle w:val="Normal"/>
              <w:rPr>
                <w:sz w:val="18"/>
              </w:rPr>
            </w:pPr>
            <w:r>
              <w:rPr>
                <w:sz w:val="18"/>
              </w:rPr>
            </w:r>
          </w:p>
        </w:tc>
        <w:tc>
          <w:tcPr>
            <w:tcW w:w="324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None</w:t>
            </w:r>
          </w:p>
        </w:tc>
        <w:tc>
          <w:tcPr>
            <w:tcW w:w="4050" w:type="dxa"/>
            <w:tcBorders>
              <w:top w:val="single" w:sz="6" w:space="0" w:color="000000"/>
              <w:start w:val="single" w:sz="6" w:space="0" w:color="000000"/>
              <w:bottom w:val="single" w:sz="6" w:space="0" w:color="000000"/>
              <w:end w:val="single" w:sz="6" w:space="0" w:color="000000"/>
            </w:tcBorders>
          </w:tcPr>
          <w:p>
            <w:pPr>
              <w:pStyle w:val="Normal"/>
              <w:rPr>
                <w:sz w:val="18"/>
              </w:rPr>
            </w:pPr>
            <w:r>
              <w:rPr>
                <w:color w:val="000000"/>
                <w:sz w:val="18"/>
              </w:rPr>
              <w:t>None</w:t>
            </w:r>
          </w:p>
        </w:tc>
      </w:tr>
      <w:tr>
        <w:trPr/>
        <w:tc>
          <w:tcPr>
            <w:tcW w:w="154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i/>
                <w:i/>
                <w:sz w:val="18"/>
              </w:rPr>
            </w:pPr>
            <w:r>
              <w:rPr>
                <w:i/>
                <w:sz w:val="18"/>
              </w:rPr>
            </w:r>
          </w:p>
        </w:tc>
        <w:tc>
          <w:tcPr>
            <w:tcW w:w="1350"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Financial Markets</w:t>
            </w:r>
          </w:p>
        </w:tc>
        <w:tc>
          <w:tcPr>
            <w:tcW w:w="1530"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Portfolio</w:t>
            </w:r>
          </w:p>
          <w:p>
            <w:pPr>
              <w:pStyle w:val="Normal"/>
              <w:widowControl/>
              <w:rPr>
                <w:sz w:val="18"/>
              </w:rPr>
            </w:pPr>
            <w:r>
              <w:rPr>
                <w:sz w:val="18"/>
              </w:rPr>
              <w:t>Monitoring, Analysis &amp; Management</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Position and P&amp;L data for all commodities traded is utilized to monitor risks on a daily basis.</w:t>
            </w:r>
          </w:p>
          <w:p>
            <w:pPr>
              <w:pStyle w:val="Normal"/>
              <w:widowControl/>
              <w:rPr>
                <w:color w:val="008000"/>
                <w:sz w:val="18"/>
              </w:rPr>
            </w:pPr>
            <w:r>
              <w:rPr>
                <w:color w:val="008000"/>
                <w:sz w:val="18"/>
              </w:rPr>
            </w:r>
          </w:p>
        </w:tc>
        <w:tc>
          <w:tcPr>
            <w:tcW w:w="135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8"/>
              </w:rPr>
            </w:pPr>
            <w:r>
              <w:rPr>
                <w:sz w:val="18"/>
              </w:rPr>
              <w:t>No</w:t>
            </w:r>
          </w:p>
          <w:p>
            <w:pPr>
              <w:pStyle w:val="Normal"/>
              <w:widowControl/>
              <w:rPr>
                <w:sz w:val="18"/>
              </w:rPr>
            </w:pPr>
            <w:r>
              <w:rPr>
                <w:sz w:val="18"/>
              </w:rPr>
            </w:r>
          </w:p>
        </w:tc>
        <w:tc>
          <w:tcPr>
            <w:tcW w:w="2970" w:type="dxa"/>
            <w:tcBorders>
              <w:top w:val="single" w:sz="6" w:space="0" w:color="000000"/>
              <w:start w:val="single" w:sz="6" w:space="0" w:color="000000"/>
              <w:bottom w:val="single" w:sz="6" w:space="0" w:color="000000"/>
              <w:end w:val="single" w:sz="6" w:space="0" w:color="000000"/>
            </w:tcBorders>
          </w:tcPr>
          <w:p>
            <w:pPr>
              <w:pStyle w:val="BodyText3"/>
              <w:rPr/>
            </w:pPr>
            <w:r>
              <w:rPr/>
              <w:t>The Market Risk Management Group prepares internally generated trader report to analyze, measure, and identify market risk related to Natural Gas and Power trading activities.</w:t>
            </w:r>
          </w:p>
          <w:p>
            <w:pPr>
              <w:pStyle w:val="Normal"/>
              <w:rPr>
                <w:sz w:val="18"/>
              </w:rPr>
            </w:pPr>
            <w:r>
              <w:rPr>
                <w:sz w:val="18"/>
              </w:rPr>
            </w:r>
          </w:p>
        </w:tc>
        <w:tc>
          <w:tcPr>
            <w:tcW w:w="324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There is no process in place to ensure that the Market Risk Management Group obtains all trading information related to the preapproved commodity groups on a daily basis.</w: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The Morning Report, which is a key source of monitoring market risks, does not include trading activities for all commodities and portfolios traded by Enron on a daily basis.  Specifically, the report includes Southern Cone Electricity on a weekly basis but does not include Southern Cone Natural Gas or EES retail basis positions.</w:t>
            </w:r>
          </w:p>
        </w:tc>
        <w:tc>
          <w:tcPr>
            <w:tcW w:w="405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A policy that requires preapproved commodity groups and remote office locations to submit a summary of all trading activity to the Market Risk Management group on a daily basis, or as deemed appropriate if minimal activity, would facilitate the identification and reporting of market risks to senior management.</w:t>
            </w:r>
          </w:p>
          <w:p>
            <w:pPr>
              <w:pStyle w:val="Normal"/>
              <w:rPr>
                <w:color w:val="000000"/>
                <w:sz w:val="18"/>
              </w:rPr>
            </w:pPr>
            <w:r>
              <w:rPr>
                <w:color w:val="000000"/>
                <w:sz w:val="18"/>
              </w:rPr>
            </w:r>
          </w:p>
          <w:p>
            <w:pPr>
              <w:pStyle w:val="Normal"/>
              <w:rPr>
                <w:color w:val="000000"/>
                <w:sz w:val="18"/>
              </w:rPr>
            </w:pPr>
            <w:r>
              <w:rPr>
                <w:color w:val="000000"/>
                <w:sz w:val="18"/>
              </w:rPr>
            </w:r>
          </w:p>
          <w:p>
            <w:pPr>
              <w:pStyle w:val="Normal"/>
              <w:rPr>
                <w:color w:val="000000"/>
                <w:sz w:val="18"/>
              </w:rPr>
            </w:pPr>
            <w:r>
              <w:rPr>
                <w:color w:val="000000"/>
                <w:sz w:val="18"/>
              </w:rPr>
              <w:t>The Morning Report should include all risk types and commodity groups traded to ensure that all Enron Corp. trading activity is monitored and reported on a daily basis.</w:t>
            </w:r>
          </w:p>
          <w:p>
            <w:pPr>
              <w:pStyle w:val="Normal"/>
              <w:rPr>
                <w:color w:val="000000"/>
                <w:sz w:val="18"/>
              </w:rPr>
            </w:pPr>
            <w:r>
              <w:rPr>
                <w:color w:val="000000"/>
                <w:sz w:val="18"/>
              </w:rPr>
            </w:r>
          </w:p>
        </w:tc>
      </w:tr>
      <w:tr>
        <w:trPr/>
        <w:tc>
          <w:tcPr>
            <w:tcW w:w="154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i/>
                <w:i/>
                <w:sz w:val="18"/>
              </w:rPr>
            </w:pPr>
            <w:r>
              <w:rPr>
                <w:i/>
                <w:sz w:val="18"/>
              </w:rPr>
            </w:r>
          </w:p>
        </w:tc>
        <w:tc>
          <w:tcPr>
            <w:tcW w:w="1350"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Financial Markets</w:t>
            </w:r>
          </w:p>
        </w:tc>
        <w:tc>
          <w:tcPr>
            <w:tcW w:w="1530"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Portfolio</w:t>
            </w:r>
          </w:p>
          <w:p>
            <w:pPr>
              <w:pStyle w:val="Normal"/>
              <w:widowControl/>
              <w:rPr>
                <w:sz w:val="18"/>
              </w:rPr>
            </w:pPr>
            <w:r>
              <w:rPr>
                <w:sz w:val="18"/>
              </w:rPr>
              <w:t>Monitoring, Analysis &amp; Management</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Sensitivity analyses and stress testing scenarios are performed on trading portfolio positions periodically and reported to management.</w:t>
            </w:r>
          </w:p>
        </w:tc>
        <w:tc>
          <w:tcPr>
            <w:tcW w:w="135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8"/>
              </w:rPr>
            </w:pPr>
            <w:r>
              <w:rPr>
                <w:sz w:val="18"/>
              </w:rPr>
              <w:t>Yes</w:t>
            </w:r>
          </w:p>
        </w:tc>
        <w:tc>
          <w:tcPr>
            <w:tcW w:w="297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None</w:t>
            </w:r>
          </w:p>
          <w:p>
            <w:pPr>
              <w:pStyle w:val="Normal"/>
              <w:rPr>
                <w:sz w:val="18"/>
              </w:rPr>
            </w:pPr>
            <w:r>
              <w:rPr>
                <w:sz w:val="18"/>
              </w:rPr>
            </w:r>
          </w:p>
        </w:tc>
        <w:tc>
          <w:tcPr>
            <w:tcW w:w="324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Currently, the Market Risk Management Group performs quarterly price curve stress testing procedures and reports the results to the Audit Committee on a quarterly basis.</w:t>
            </w:r>
          </w:p>
        </w:tc>
        <w:tc>
          <w:tcPr>
            <w:tcW w:w="40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The group should perform these procedures on a monthly basis and report the results to management and to traders to identify vulnerabilities of positions held.  Additionally, the group should utilize scenario analysis as a risk analysis tool to analyze the effects of a series of events on earnings.  The results of the scenario testing should also be reported to management and included in the Audit Committee reporting package on a quarterly basis.</w:t>
            </w:r>
          </w:p>
        </w:tc>
      </w:tr>
      <w:tr>
        <w:trPr/>
        <w:tc>
          <w:tcPr>
            <w:tcW w:w="1548" w:type="dxa"/>
            <w:tcBorders>
              <w:top w:val="single" w:sz="6" w:space="0" w:color="000000"/>
              <w:start w:val="single" w:sz="6" w:space="0" w:color="000000"/>
              <w:bottom w:val="single" w:sz="6" w:space="0" w:color="000000"/>
              <w:end w:val="single" w:sz="6" w:space="0" w:color="000000"/>
            </w:tcBorders>
          </w:tcPr>
          <w:p>
            <w:pPr>
              <w:pStyle w:val="Heading7"/>
              <w:widowControl/>
              <w:snapToGrid w:val="false"/>
              <w:ind w:hanging="0" w:start="0" w:end="0"/>
              <w:rPr>
                <w:i w:val="false"/>
                <w:i w:val="false"/>
                <w:sz w:val="18"/>
              </w:rPr>
            </w:pPr>
            <w:r>
              <w:rPr>
                <w:i w:val="false"/>
                <w:sz w:val="18"/>
              </w:rPr>
            </w:r>
          </w:p>
        </w:tc>
        <w:tc>
          <w:tcPr>
            <w:tcW w:w="1350"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Strategy/</w:t>
            </w:r>
          </w:p>
          <w:p>
            <w:pPr>
              <w:pStyle w:val="Normal"/>
              <w:widowControl/>
              <w:rPr>
                <w:sz w:val="18"/>
              </w:rPr>
            </w:pPr>
            <w:r>
              <w:rPr>
                <w:sz w:val="18"/>
              </w:rPr>
              <w:t>Business Portfolio</w:t>
            </w:r>
          </w:p>
        </w:tc>
        <w:tc>
          <w:tcPr>
            <w:tcW w:w="1530" w:type="dxa"/>
            <w:tcBorders>
              <w:top w:val="single" w:sz="6" w:space="0" w:color="000000"/>
              <w:start w:val="single" w:sz="6" w:space="0" w:color="000000"/>
              <w:bottom w:val="single" w:sz="6" w:space="0" w:color="000000"/>
              <w:end w:val="single" w:sz="6" w:space="0" w:color="000000"/>
            </w:tcBorders>
          </w:tcPr>
          <w:p>
            <w:pPr>
              <w:pStyle w:val="Heading7"/>
              <w:widowControl/>
              <w:ind w:hanging="0" w:start="0" w:end="0"/>
              <w:rPr>
                <w:i w:val="false"/>
                <w:i w:val="false"/>
                <w:sz w:val="18"/>
              </w:rPr>
            </w:pPr>
            <w:r>
              <w:rPr>
                <w:i w:val="false"/>
                <w:sz w:val="18"/>
              </w:rPr>
              <w:t>Strategic Portfolio Management</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An Enron Corp. Risk Management Policy exists that adequately governs company-wide trading activities and is periodically updated for the current company environment as necessary.</w:t>
            </w:r>
          </w:p>
        </w:tc>
        <w:tc>
          <w:tcPr>
            <w:tcW w:w="1350" w:type="dxa"/>
            <w:tcBorders>
              <w:top w:val="single" w:sz="6" w:space="0" w:color="000000"/>
              <w:start w:val="single" w:sz="6" w:space="0" w:color="000000"/>
              <w:bottom w:val="single" w:sz="6" w:space="0" w:color="000000"/>
              <w:end w:val="single" w:sz="6" w:space="0" w:color="000000"/>
            </w:tcBorders>
          </w:tcPr>
          <w:p>
            <w:pPr>
              <w:pStyle w:val="Heading7"/>
              <w:widowControl/>
              <w:ind w:hanging="0" w:start="0" w:end="0"/>
              <w:jc w:val="center"/>
              <w:rPr>
                <w:i w:val="false"/>
                <w:i w:val="false"/>
                <w:sz w:val="18"/>
              </w:rPr>
            </w:pPr>
            <w:r>
              <w:rPr>
                <w:i w:val="false"/>
                <w:sz w:val="18"/>
              </w:rPr>
              <w:t>No</w:t>
            </w:r>
          </w:p>
        </w:tc>
        <w:tc>
          <w:tcPr>
            <w:tcW w:w="2970" w:type="dxa"/>
            <w:tcBorders>
              <w:top w:val="single" w:sz="6" w:space="0" w:color="000000"/>
              <w:start w:val="single" w:sz="6" w:space="0" w:color="000000"/>
              <w:bottom w:val="single" w:sz="6" w:space="0" w:color="000000"/>
              <w:end w:val="single" w:sz="6" w:space="0" w:color="000000"/>
            </w:tcBorders>
          </w:tcPr>
          <w:p>
            <w:pPr>
              <w:pStyle w:val="Normal"/>
              <w:rPr>
                <w:color w:val="000000"/>
                <w:sz w:val="18"/>
              </w:rPr>
            </w:pPr>
            <w:r>
              <w:rPr>
                <w:color w:val="000000"/>
                <w:sz w:val="18"/>
              </w:rPr>
              <w:t>None</w:t>
            </w:r>
          </w:p>
          <w:p>
            <w:pPr>
              <w:pStyle w:val="Heading7"/>
              <w:widowControl/>
              <w:ind w:hanging="0" w:start="0" w:end="0"/>
              <w:rPr>
                <w:i w:val="false"/>
                <w:i w:val="false"/>
                <w:color w:val="000000"/>
                <w:sz w:val="18"/>
              </w:rPr>
            </w:pPr>
            <w:r>
              <w:rPr>
                <w:i w:val="false"/>
                <w:color w:val="000000"/>
                <w:sz w:val="18"/>
              </w:rPr>
            </w:r>
          </w:p>
        </w:tc>
        <w:tc>
          <w:tcPr>
            <w:tcW w:w="324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The current Risk Management Policy only addresses the assessment and monitoring of Enron’s market risks.</w: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The Enron Corp. Risk Management Policy only covers the risk associated with mark-to-market positions held by the company; therefore, the market risks associated with non mark-to market positions are not included in the scope of the policy and are not required to be monitored.</w:t>
            </w:r>
          </w:p>
          <w:p>
            <w:pPr>
              <w:pStyle w:val="Normal"/>
              <w:rPr>
                <w:sz w:val="18"/>
              </w:rPr>
            </w:pPr>
            <w:r>
              <w:rPr>
                <w:sz w:val="18"/>
              </w:rPr>
            </w:r>
          </w:p>
          <w:p>
            <w:pPr>
              <w:pStyle w:val="Normal"/>
              <w:rPr>
                <w:sz w:val="18"/>
              </w:rPr>
            </w:pPr>
            <w:r>
              <w:rPr>
                <w:sz w:val="18"/>
              </w:rPr>
              <w:t>There is no policy that addresses the hedging procedures of strategic assets and international business unit activities (i.e. interest rate and foreign currency risks).</w:t>
            </w:r>
          </w:p>
          <w:p>
            <w:pPr>
              <w:pStyle w:val="Normal"/>
              <w:rPr>
                <w:sz w:val="18"/>
              </w:rPr>
            </w:pPr>
            <w:r>
              <w:rPr>
                <w:sz w:val="18"/>
              </w:rPr>
            </w:r>
          </w:p>
          <w:p>
            <w:pPr>
              <w:pStyle w:val="Normal"/>
              <w:rPr>
                <w:sz w:val="18"/>
              </w:rPr>
            </w:pPr>
            <w:r>
              <w:rPr>
                <w:sz w:val="18"/>
              </w:rPr>
              <w:t>The Risk Management Policy identifies the individuals required to approve temporary limit changes; however, once a proposal has been submitted to the Board of Directors, there is no procedure in place that would ensure the approved temporary limits are documented and distributed to the appropriate individuals.</w:t>
            </w:r>
          </w:p>
        </w:tc>
        <w:tc>
          <w:tcPr>
            <w:tcW w:w="4050"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The company should develop an overall Enron Corp. Risk Management Policy that addresses all addresses all material aspects of risk that should be monitored in the financial markets including, but not limited to, market, credit, settlement, liquidity operational, regulatory, legal sovereign, and environmental risk.  In addition, detailed policies relating to the specific risks should be attached to the primary policy in the form of appendices, addendums, etc.  These appendices should be tailored to the specific risk area as previously mentioned.  Furthermore, the responsibilities for monitoring each of these risk areas should also be assigned within the policy.</w:t>
            </w:r>
          </w:p>
          <w:p>
            <w:pPr>
              <w:pStyle w:val="Normal"/>
              <w:widowControl/>
              <w:rPr>
                <w:sz w:val="18"/>
              </w:rPr>
            </w:pPr>
            <w:r>
              <w:rPr>
                <w:sz w:val="18"/>
              </w:rPr>
            </w:r>
          </w:p>
          <w:p>
            <w:pPr>
              <w:pStyle w:val="Normal"/>
              <w:widowControl/>
              <w:rPr>
                <w:sz w:val="18"/>
              </w:rPr>
            </w:pPr>
            <w:r>
              <w:rPr>
                <w:sz w:val="18"/>
              </w:rPr>
              <w:t>The scope of the Risk Management Policy should be extended to cover both of these activities that create market risk.</w:t>
            </w:r>
          </w:p>
          <w:p>
            <w:pPr>
              <w:pStyle w:val="Normal"/>
              <w:widowControl/>
              <w:rPr>
                <w:sz w:val="18"/>
              </w:rPr>
            </w:pPr>
            <w:r>
              <w:rPr>
                <w:sz w:val="18"/>
              </w:rPr>
            </w:r>
          </w:p>
          <w:p>
            <w:pPr>
              <w:pStyle w:val="Normal"/>
              <w:widowControl/>
              <w:rPr>
                <w:sz w:val="18"/>
              </w:rPr>
            </w:pPr>
            <w:r>
              <w:rPr>
                <w:sz w:val="18"/>
              </w:rPr>
            </w:r>
          </w:p>
          <w:p>
            <w:pPr>
              <w:pStyle w:val="Normal"/>
              <w:widowControl/>
              <w:rPr>
                <w:sz w:val="18"/>
              </w:rPr>
            </w:pPr>
            <w:r>
              <w:rPr>
                <w:sz w:val="18"/>
              </w:rPr>
            </w:r>
          </w:p>
          <w:p>
            <w:pPr>
              <w:pStyle w:val="Normal"/>
              <w:widowControl/>
              <w:rPr>
                <w:sz w:val="18"/>
              </w:rPr>
            </w:pPr>
            <w:r>
              <w:rPr>
                <w:sz w:val="18"/>
              </w:rPr>
            </w:r>
          </w:p>
          <w:p>
            <w:pPr>
              <w:pStyle w:val="Normal"/>
              <w:widowControl/>
              <w:rPr>
                <w:sz w:val="18"/>
              </w:rPr>
            </w:pPr>
            <w:r>
              <w:rPr>
                <w:sz w:val="18"/>
              </w:rPr>
            </w:r>
          </w:p>
          <w:p>
            <w:pPr>
              <w:pStyle w:val="Normal"/>
              <w:widowControl/>
              <w:rPr>
                <w:sz w:val="18"/>
              </w:rPr>
            </w:pPr>
            <w:r>
              <w:rPr>
                <w:sz w:val="18"/>
              </w:rPr>
            </w:r>
          </w:p>
          <w:p>
            <w:pPr>
              <w:pStyle w:val="Normal"/>
              <w:widowControl/>
              <w:rPr>
                <w:sz w:val="18"/>
              </w:rPr>
            </w:pPr>
            <w:r>
              <w:rPr>
                <w:sz w:val="18"/>
              </w:rPr>
              <w:t>A separate policy, or addendum to the Risk Management Policy, should be developed that outlines the types of risks to be hedged, hedging procedures and the reporting requirements.</w:t>
            </w:r>
          </w:p>
          <w:p>
            <w:pPr>
              <w:pStyle w:val="Normal"/>
              <w:widowControl/>
              <w:rPr>
                <w:sz w:val="18"/>
              </w:rPr>
            </w:pPr>
            <w:r>
              <w:rPr>
                <w:sz w:val="18"/>
              </w:rPr>
            </w:r>
          </w:p>
          <w:p>
            <w:pPr>
              <w:pStyle w:val="Normal"/>
              <w:widowControl/>
              <w:rPr>
                <w:sz w:val="18"/>
              </w:rPr>
            </w:pPr>
            <w:r>
              <w:rPr>
                <w:sz w:val="18"/>
              </w:rPr>
              <w:t>Once the proposed temporary limits are approved by the Board of Directors, the approved temporary limits should be included as an Appendix in the Risk Management Policy to assist in proper application of limits.</w:t>
            </w:r>
          </w:p>
        </w:tc>
      </w:tr>
      <w:tr>
        <w:trPr/>
        <w:tc>
          <w:tcPr>
            <w:tcW w:w="1548" w:type="dxa"/>
            <w:tcBorders>
              <w:top w:val="single" w:sz="6" w:space="0" w:color="000000"/>
              <w:start w:val="single" w:sz="6" w:space="0" w:color="000000"/>
              <w:bottom w:val="single" w:sz="6" w:space="0" w:color="000000"/>
              <w:end w:val="single" w:sz="6" w:space="0" w:color="000000"/>
            </w:tcBorders>
          </w:tcPr>
          <w:p>
            <w:pPr>
              <w:pStyle w:val="Normal"/>
              <w:widowControl/>
              <w:snapToGrid w:val="false"/>
              <w:rPr>
                <w:i/>
                <w:i/>
                <w:sz w:val="18"/>
              </w:rPr>
            </w:pPr>
            <w:r>
              <w:rPr>
                <w:i/>
                <w:sz w:val="18"/>
              </w:rPr>
            </w:r>
          </w:p>
        </w:tc>
        <w:tc>
          <w:tcPr>
            <w:tcW w:w="1350"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Strategy/</w:t>
            </w:r>
          </w:p>
          <w:p>
            <w:pPr>
              <w:pStyle w:val="Normal"/>
              <w:widowControl/>
              <w:rPr>
                <w:sz w:val="18"/>
              </w:rPr>
            </w:pPr>
            <w:r>
              <w:rPr>
                <w:sz w:val="18"/>
              </w:rPr>
              <w:t>Business Portfolio</w:t>
            </w:r>
          </w:p>
        </w:tc>
        <w:tc>
          <w:tcPr>
            <w:tcW w:w="1530"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Strategic Portfolio</w:t>
            </w:r>
          </w:p>
          <w:p>
            <w:pPr>
              <w:pStyle w:val="Normal"/>
              <w:widowControl/>
              <w:rPr>
                <w:sz w:val="18"/>
              </w:rPr>
            </w:pPr>
            <w:r>
              <w:rPr>
                <w:sz w:val="18"/>
              </w:rPr>
              <w:t>Management</w:t>
            </w:r>
          </w:p>
        </w:tc>
        <w:tc>
          <w:tcPr>
            <w:tcW w:w="2880" w:type="dxa"/>
            <w:tcBorders>
              <w:top w:val="single" w:sz="6" w:space="0" w:color="000000"/>
              <w:start w:val="single" w:sz="6" w:space="0" w:color="000000"/>
              <w:bottom w:val="single" w:sz="6" w:space="0" w:color="000000"/>
              <w:end w:val="single" w:sz="6" w:space="0" w:color="000000"/>
            </w:tcBorders>
          </w:tcPr>
          <w:p>
            <w:pPr>
              <w:pStyle w:val="Normal"/>
              <w:widowControl/>
              <w:rPr>
                <w:sz w:val="18"/>
              </w:rPr>
            </w:pPr>
            <w:r>
              <w:rPr>
                <w:sz w:val="18"/>
              </w:rPr>
              <w:t>The Market Risk Management Group ensures that all responsibilities identified in the Risk Management Policy are performed.</w:t>
            </w:r>
          </w:p>
        </w:tc>
        <w:tc>
          <w:tcPr>
            <w:tcW w:w="1350" w:type="dxa"/>
            <w:tcBorders>
              <w:top w:val="single" w:sz="6" w:space="0" w:color="000000"/>
              <w:start w:val="single" w:sz="6" w:space="0" w:color="000000"/>
              <w:bottom w:val="single" w:sz="6" w:space="0" w:color="000000"/>
              <w:end w:val="single" w:sz="6" w:space="0" w:color="000000"/>
            </w:tcBorders>
          </w:tcPr>
          <w:p>
            <w:pPr>
              <w:pStyle w:val="Normal"/>
              <w:widowControl/>
              <w:jc w:val="center"/>
              <w:rPr>
                <w:sz w:val="18"/>
              </w:rPr>
            </w:pPr>
            <w:r>
              <w:rPr>
                <w:sz w:val="18"/>
              </w:rPr>
              <w:t>No</w:t>
            </w:r>
          </w:p>
        </w:tc>
        <w:tc>
          <w:tcPr>
            <w:tcW w:w="297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None</w:t>
            </w:r>
          </w:p>
        </w:tc>
        <w:tc>
          <w:tcPr>
            <w:tcW w:w="324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The Market Risk Management Group does not ensure that some responsibilities outlined in the Enron Corp. Risk Management Policy, such as certain segregation of duty requirements and employee policy notifications, are actually performed.</w:t>
            </w:r>
          </w:p>
          <w:p>
            <w:pPr>
              <w:pStyle w:val="Normal"/>
              <w:rPr>
                <w:sz w:val="18"/>
              </w:rPr>
            </w:pPr>
            <w:r>
              <w:rPr>
                <w:sz w:val="18"/>
              </w:rPr>
            </w:r>
          </w:p>
          <w:p>
            <w:pPr>
              <w:pStyle w:val="Normal"/>
              <w:rPr>
                <w:sz w:val="18"/>
              </w:rPr>
            </w:pPr>
            <w:r>
              <w:rPr>
                <w:sz w:val="18"/>
              </w:rPr>
              <w:t>The Risk Management Policy requires changes to parameters used in the aggregation and measurement of positions to be approved by the CRO; however, the policy does not clearly identify all application position measurement parameters and the types of changes that require CRO approval and Board of Director notification.</w:t>
            </w:r>
          </w:p>
          <w:p>
            <w:pPr>
              <w:pStyle w:val="Normal"/>
              <w:rPr>
                <w:sz w:val="18"/>
              </w:rPr>
            </w:pPr>
            <w:r>
              <w:rPr>
                <w:sz w:val="18"/>
              </w:rPr>
            </w:r>
          </w:p>
          <w:p>
            <w:pPr>
              <w:pStyle w:val="Normal"/>
              <w:rPr>
                <w:sz w:val="18"/>
              </w:rPr>
            </w:pPr>
            <w:r>
              <w:rPr>
                <w:sz w:val="18"/>
              </w:rPr>
            </w:r>
          </w:p>
          <w:p>
            <w:pPr>
              <w:pStyle w:val="Normal"/>
              <w:rPr>
                <w:sz w:val="18"/>
              </w:rPr>
            </w:pPr>
            <w:r>
              <w:rPr>
                <w:sz w:val="18"/>
              </w:rPr>
              <w:t>As of May 30, 2000, five Trader Authorizations did not accurately reflect traders currently authorized to trade on behalf of Enron Corp:  NA Power, the Overall Commodity Group, Emissions, NA Financial Trading, and Natural Gas.  Subsequent to our review, three of the above Trader Authorizations have been updated to reflect all current traders.</w:t>
            </w:r>
          </w:p>
          <w:p>
            <w:pPr>
              <w:pStyle w:val="Normal"/>
              <w:rPr>
                <w:sz w:val="18"/>
              </w:rPr>
            </w:pPr>
            <w:r>
              <w:rPr>
                <w:sz w:val="18"/>
              </w:rPr>
            </w:r>
          </w:p>
          <w:p>
            <w:pPr>
              <w:pStyle w:val="Normal"/>
              <w:rPr>
                <w:sz w:val="18"/>
              </w:rPr>
            </w:pPr>
            <w:r>
              <w:rPr>
                <w:sz w:val="18"/>
              </w:rPr>
              <w:t>The Risk Management Policy is not distributed to all affected employees.</w:t>
            </w:r>
          </w:p>
        </w:tc>
        <w:tc>
          <w:tcPr>
            <w:tcW w:w="4050" w:type="dxa"/>
            <w:tcBorders>
              <w:top w:val="single" w:sz="6" w:space="0" w:color="000000"/>
              <w:start w:val="single" w:sz="6" w:space="0" w:color="000000"/>
              <w:bottom w:val="single" w:sz="6" w:space="0" w:color="000000"/>
              <w:end w:val="single" w:sz="6" w:space="0" w:color="000000"/>
            </w:tcBorders>
          </w:tcPr>
          <w:p>
            <w:pPr>
              <w:pStyle w:val="Normal"/>
              <w:rPr>
                <w:sz w:val="18"/>
              </w:rPr>
            </w:pPr>
            <w:r>
              <w:rPr>
                <w:sz w:val="18"/>
              </w:rPr>
              <w:t>The group should formally assign ownership of the responsibilities to appropriate individuals and groups to ensure that all responsibilities are performed.</w: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The group should develop an addendum to the policy that clearly defines all position measurement parameters and the types of changes that require CRO approval and Board of Director notification.  Additionally, the addendum should require company employees to notify the Market Risk Management Group of all changes to measurement parameters used in the aggregation and measurement of positions to effectively monitor approval when required.</w:t>
            </w:r>
          </w:p>
          <w:p>
            <w:pPr>
              <w:pStyle w:val="Normal"/>
              <w:rPr>
                <w:sz w:val="18"/>
              </w:rPr>
            </w:pPr>
            <w:r>
              <w:rPr>
                <w:sz w:val="18"/>
              </w:rPr>
            </w:r>
          </w:p>
          <w:p>
            <w:pPr>
              <w:pStyle w:val="Normal"/>
              <w:rPr>
                <w:sz w:val="18"/>
              </w:rPr>
            </w:pPr>
            <w:r>
              <w:rPr>
                <w:sz w:val="18"/>
              </w:rPr>
              <w:t>Currently these authorization memos are updated semi-annually, but management should progress towards a real-time update process to ensure unauthorized personnel are not executing trades.</w:t>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r>
          </w:p>
          <w:p>
            <w:pPr>
              <w:pStyle w:val="Normal"/>
              <w:rPr>
                <w:sz w:val="18"/>
              </w:rPr>
            </w:pPr>
            <w:r>
              <w:rPr>
                <w:sz w:val="18"/>
              </w:rPr>
              <w:t>As a best practice to ensuring an effective risk management system, Enron should distribute the Risk Management policy to all affected employees.  If data obtained in the Policy is sensitive, certain thresholds should be established to facilitate dissemination; however, distribution of the policy should extend beyond commercial personnel.</w:t>
            </w:r>
          </w:p>
        </w:tc>
      </w:tr>
    </w:tbl>
    <w:p>
      <w:pPr>
        <w:pStyle w:val="Footer"/>
        <w:widowControl/>
        <w:tabs>
          <w:tab w:val="clear" w:pos="4320"/>
          <w:tab w:val="clear" w:pos="8640"/>
          <w:tab w:val="left" w:pos="2520" w:leader="none"/>
          <w:tab w:val="left" w:pos="2700" w:leader="none"/>
        </w:tabs>
        <w:rPr/>
      </w:pPr>
      <w:r>
        <w:rPr/>
      </w:r>
    </w:p>
    <w:sectPr>
      <w:headerReference w:type="default" r:id="rId2"/>
      <w:headerReference w:type="first" r:id="rId3"/>
      <w:footerReference w:type="default" r:id="rId4"/>
      <w:footerReference w:type="first" r:id="rId5"/>
      <w:type w:val="nextPage"/>
      <w:pgSz w:orient="landscape" w:w="20160" w:h="12240"/>
      <w:pgMar w:left="720" w:right="720"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sz w:val="8"/>
      </w:rPr>
    </w:pPr>
    <w:r>
      <w:rPr>
        <w:sz w:val="8"/>
      </w:rPr>
      <w:t>J:\47FL Share\CAS\Audits\1998\Portland\DBMatrix.doc</w:t>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048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930.45pt;mso-position-horizontal:right;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b/>
      </w:rPr>
    </w:pPr>
    <w:r>
      <w:rPr>
        <w:b/>
      </w:rPr>
      <w:t>ECT – 1998 AUDIT PLAN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Book Antiqua" w:hAnsi="Book Antiqua" w:eastAsia="Times New Roman" w:cs="Book Antiqua"/>
      <w:color w:val="auto"/>
      <w:sz w:val="22"/>
      <w:szCs w:val="20"/>
      <w:lang w:val="en-US" w:eastAsia="en-US" w:bidi="hi-I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ind w:hanging="0" w:start="720" w:end="0"/>
      <w:outlineLvl w:val="2"/>
    </w:pPr>
    <w:rPr>
      <w:i/>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outlineLvl w:val="4"/>
    </w:pPr>
    <w:rPr>
      <w:b/>
      <w:i/>
      <w:sz w:val="28"/>
    </w:rPr>
  </w:style>
  <w:style w:type="paragraph" w:styleId="Heading6">
    <w:name w:val="heading 6"/>
    <w:basedOn w:val="Normal"/>
    <w:next w:val="Normal"/>
    <w:qFormat/>
    <w:pPr>
      <w:keepNext w:val="true"/>
      <w:numPr>
        <w:ilvl w:val="5"/>
        <w:numId w:val="1"/>
      </w:numPr>
      <w:outlineLvl w:val="5"/>
    </w:pPr>
    <w:rPr>
      <w:i/>
      <w:sz w:val="24"/>
    </w:rPr>
  </w:style>
  <w:style w:type="paragraph" w:styleId="Heading7">
    <w:name w:val="heading 7"/>
    <w:basedOn w:val="Normal"/>
    <w:next w:val="Normal"/>
    <w:qFormat/>
    <w:pPr>
      <w:keepNext w:val="true"/>
      <w:numPr>
        <w:ilvl w:val="6"/>
        <w:numId w:val="1"/>
      </w:numPr>
      <w:ind w:firstLine="720" w:start="720" w:end="0"/>
      <w:outlineLvl w:val="6"/>
    </w:pPr>
    <w:rPr>
      <w:i/>
      <w:sz w:val="20"/>
    </w:rPr>
  </w:style>
  <w:style w:type="paragraph" w:styleId="Heading8">
    <w:name w:val="heading 8"/>
    <w:basedOn w:val="Normal"/>
    <w:next w:val="Normal"/>
    <w:qFormat/>
    <w:pPr>
      <w:keepNext w:val="true"/>
      <w:numPr>
        <w:ilvl w:val="7"/>
        <w:numId w:val="1"/>
      </w:numPr>
      <w:tabs>
        <w:tab w:val="clear" w:pos="720"/>
        <w:tab w:val="left" w:pos="2160" w:leader="none"/>
      </w:tabs>
      <w:ind w:hanging="0" w:start="1440" w:end="0"/>
      <w:outlineLvl w:val="7"/>
    </w:pPr>
    <w:rPr>
      <w:i/>
      <w:sz w:val="20"/>
    </w:rPr>
  </w:style>
  <w:style w:type="paragraph" w:styleId="Heading9">
    <w:name w:val="heading 9"/>
    <w:basedOn w:val="Normal"/>
    <w:next w:val="Normal"/>
    <w:qFormat/>
    <w:pPr>
      <w:keepNext w:val="true"/>
      <w:numPr>
        <w:ilvl w:val="8"/>
        <w:numId w:val="1"/>
      </w:numPr>
      <w:ind w:firstLine="360" w:start="1080" w:end="0"/>
      <w:outlineLvl w:val="8"/>
    </w:pPr>
    <w:rPr>
      <w:i/>
      <w:sz w:val="20"/>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Times New Roman" w:hAnsi="Times New Roman" w:cs="Times New Roman"/>
      <w:sz w:val="16"/>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St2z0">
    <w:name w:val="WW8NumSt2z0"/>
    <w:qFormat/>
    <w:rPr>
      <w:rFonts w:ascii="Book Antiqua" w:hAnsi="Book Antiqua" w:cs="Book Antiqua"/>
      <w:sz w:val="18"/>
    </w:rPr>
  </w:style>
  <w:style w:type="character" w:styleId="DefaultParagraphFont">
    <w:name w:val="Default Paragraph Font"/>
    <w:qFormat/>
    <w:rPr/>
  </w:style>
  <w:style w:type="character" w:styleId="Hyperlink">
    <w:name w:val="Hyperlink"/>
    <w:basedOn w:val="DefaultParagraphFont"/>
    <w:rPr>
      <w:color w:val="0000FF"/>
      <w:sz w:val="20"/>
      <w:u w:val="single"/>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0" w:leader="none"/>
      </w:tabs>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rPr>
      <w:sz w:val="18"/>
    </w:rPr>
  </w:style>
  <w:style w:type="paragraph" w:styleId="BodyText2">
    <w:name w:val="Body Text 2"/>
    <w:basedOn w:val="Normal"/>
    <w:qFormat/>
    <w:pPr>
      <w:widowControl/>
    </w:pPr>
    <w:rPr>
      <w:sz w:val="18"/>
      <w:lang w:eastAsia="en-CA"/>
    </w:rPr>
  </w:style>
  <w:style w:type="paragraph" w:styleId="BodyText3">
    <w:name w:val="Body Text 3"/>
    <w:basedOn w:val="Normal"/>
    <w:qFormat/>
    <w:pPr/>
    <w:rPr>
      <w:color w:val="000000"/>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2000-08-17T11:18:00Z</dcterms:created>
  <dc:creator>CASEY EVANS</dc:creator>
  <dc:description/>
  <dc:language>en-CA</dc:language>
  <cp:lastModifiedBy>Arthur Andersen</cp:lastModifiedBy>
  <cp:lastPrinted>1999-06-22T09:27:00Z</cp:lastPrinted>
  <dcterms:modified xsi:type="dcterms:W3CDTF">2000-08-17T11:26:00Z</dcterms:modified>
  <cp:revision>4</cp:revision>
  <dc:subject/>
  <dc:title>A</dc:title>
</cp:coreProperties>
</file>