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i/>
          <w:i/>
        </w:rPr>
      </w:pPr>
      <w:r>
        <w:rPr>
          <w:b/>
          <w:i/>
        </w:rPr>
        <w:t xml:space="preserve"> </w:t>
      </w:r>
      <w:r>
        <w:rPr>
          <w:b/>
          <w:i/>
        </w:rPr>
        <w:t>PROPOSED TERMS FOR</w:t>
      </w:r>
    </w:p>
    <w:p>
      <w:pPr>
        <w:pStyle w:val="Normal"/>
        <w:widowControl/>
        <w:jc w:val="center"/>
        <w:rPr>
          <w:b/>
          <w:i/>
          <w:i/>
        </w:rPr>
      </w:pPr>
      <w:r>
        <w:rPr>
          <w:b/>
          <w:i/>
        </w:rPr>
        <w:t>Firm Energy Sale</w:t>
      </w:r>
    </w:p>
    <w:p>
      <w:pPr>
        <w:pStyle w:val="Heading4"/>
        <w:ind w:hanging="0" w:start="0"/>
        <w:rPr/>
      </w:pPr>
      <w:r>
        <w:rPr/>
        <w:t>To</w:t>
      </w:r>
    </w:p>
    <w:p>
      <w:pPr>
        <w:pStyle w:val="Normal"/>
        <w:widowControl/>
        <w:jc w:val="center"/>
        <w:rPr>
          <w:b/>
          <w:i/>
          <w:i/>
        </w:rPr>
      </w:pPr>
      <w:r>
        <w:rPr>
          <w:b/>
          <w:i/>
        </w:rPr>
        <w:t xml:space="preserve">Energy West Resources  </w:t>
      </w:r>
    </w:p>
    <w:p>
      <w:pPr>
        <w:pStyle w:val="Normal"/>
        <w:widowControl/>
        <w:jc w:val="center"/>
        <w:rPr>
          <w:b/>
          <w:i/>
          <w:i/>
        </w:rPr>
      </w:pPr>
      <w:r>
        <w:rPr>
          <w:b/>
          <w:i/>
        </w:rPr>
        <w:t>By</w:t>
      </w:r>
    </w:p>
    <w:p>
      <w:pPr>
        <w:pStyle w:val="Normal"/>
        <w:widowControl/>
        <w:jc w:val="center"/>
        <w:rPr>
          <w:b/>
          <w:i/>
          <w:i/>
        </w:rPr>
      </w:pPr>
      <w:r>
        <w:rPr>
          <w:b/>
          <w:i/>
        </w:rPr>
        <w:t>Enron Power Marketing, Inc.</w:t>
      </w:r>
    </w:p>
    <w:p>
      <w:pPr>
        <w:pStyle w:val="Normal"/>
        <w:widowControl/>
        <w:rPr>
          <w:b/>
          <w:i/>
          <w:i/>
          <w:u w:val="single"/>
        </w:rPr>
      </w:pPr>
      <w:r>
        <w:rPr>
          <w:b/>
          <w:i/>
          <w:u w:val="single"/>
        </w:rPr>
      </w:r>
    </w:p>
    <w:p>
      <w:pPr>
        <w:pStyle w:val="Normal"/>
        <w:widowControl/>
        <w:rPr>
          <w:b/>
          <w:i/>
          <w:i/>
          <w:u w:val="single"/>
        </w:rPr>
      </w:pPr>
      <w:r>
        <w:rPr>
          <w:b/>
          <w:i/>
          <w:u w:val="single"/>
        </w:rPr>
        <w:t>PURPOSE</w:t>
      </w:r>
    </w:p>
    <w:p>
      <w:pPr>
        <w:pStyle w:val="Normal"/>
        <w:widowControl/>
        <w:rPr>
          <w:b/>
          <w:i/>
          <w:i/>
          <w:u w:val="single"/>
        </w:rPr>
      </w:pPr>
      <w:r>
        <w:rPr>
          <w:b/>
          <w:i/>
          <w:u w:val="single"/>
        </w:rPr>
      </w:r>
    </w:p>
    <w:p>
      <w:pPr>
        <w:pStyle w:val="Normal"/>
        <w:widowControl/>
        <w:jc w:val="both"/>
        <w:rPr/>
      </w:pPr>
      <w:r>
        <w:rPr/>
        <w:t xml:space="preserve">This proposal outlines the general terms and conditions under which Enron (Enron Power Marketing Inc. (EPMI)) would enter into an additional energy sales agreement for firm energy to Energy West Resources (Energy West).  Such a transaction may require an additional Letter of Credit.  As requested, we have developed multiple pricing scenarios and would be more than willing to discuss additional pricing structures upon request.   As explained in the context of this proposal, we have attempted to offer as much operational latitude as possible combined with aggressive pricing. </w:t>
      </w:r>
    </w:p>
    <w:p>
      <w:pPr>
        <w:pStyle w:val="Normal"/>
        <w:widowControl/>
        <w:jc w:val="both"/>
        <w:rPr/>
      </w:pPr>
      <w:r>
        <w:rPr/>
      </w:r>
    </w:p>
    <w:p>
      <w:pPr>
        <w:pStyle w:val="Normal"/>
        <w:widowControl/>
        <w:jc w:val="both"/>
        <w:rPr/>
      </w:pPr>
      <w:r>
        <w:rPr/>
        <w:t xml:space="preserve">We appreciate Energy West’s continued interest in furthering our well-developed business relationship.   </w:t>
      </w:r>
    </w:p>
    <w:p>
      <w:pPr>
        <w:pStyle w:val="Normal"/>
        <w:widowControl/>
        <w:rPr/>
      </w:pPr>
      <w:r>
        <w:rPr/>
      </w:r>
    </w:p>
    <w:p>
      <w:pPr>
        <w:pStyle w:val="Normal"/>
        <w:widowControl/>
        <w:rPr>
          <w:b/>
          <w:i/>
          <w:i/>
          <w:u w:val="single"/>
        </w:rPr>
      </w:pPr>
      <w:r>
        <w:rPr>
          <w:b/>
          <w:i/>
          <w:u w:val="single"/>
        </w:rPr>
        <w:t xml:space="preserve">ELECTRICITY SUPPLIES TO ENERGY WEST </w:t>
      </w:r>
    </w:p>
    <w:p>
      <w:pPr>
        <w:pStyle w:val="Normal"/>
        <w:widowControl/>
        <w:rPr>
          <w:b/>
          <w:i/>
          <w:i/>
          <w:u w:val="single"/>
        </w:rPr>
      </w:pPr>
      <w:r>
        <w:rPr>
          <w:b/>
          <w:i/>
          <w:u w:val="single"/>
        </w:rPr>
      </w:r>
    </w:p>
    <w:p>
      <w:pPr>
        <w:pStyle w:val="Heading5"/>
        <w:ind w:hanging="0" w:start="0"/>
        <w:rPr/>
      </w:pPr>
      <w:r>
        <w:rPr/>
        <w:t>MONTANA OPERATIONS ONLY</w:t>
      </w:r>
    </w:p>
    <w:p>
      <w:pPr>
        <w:pStyle w:val="Header"/>
        <w:widowControl/>
        <w:tabs>
          <w:tab w:val="clear" w:pos="4320"/>
          <w:tab w:val="clear" w:pos="8640"/>
        </w:tabs>
        <w:rPr/>
      </w:pPr>
      <w:r>
        <w:rPr/>
      </w:r>
    </w:p>
    <w:p>
      <w:pPr>
        <w:pStyle w:val="Normal"/>
        <w:widowControl/>
        <w:ind w:hanging="2160" w:start="2160" w:end="0"/>
        <w:jc w:val="both"/>
        <w:rPr/>
      </w:pPr>
      <w:r>
        <w:rPr/>
        <w:t>Contract Quantity:</w:t>
        <w:tab/>
      </w:r>
      <w:r>
        <w:rPr>
          <w:sz w:val="22"/>
        </w:rPr>
        <w:t>Minimum of 40 MW, maximum of 46 MWs.  EPMI would need to be notified one business day prior to the recognized Western System Coordinating Council (WSCC) pre-schedule deadline of all MW volume nominations.</w:t>
      </w:r>
      <w:r>
        <w:rPr/>
        <w:t xml:space="preserve">  </w:t>
      </w:r>
    </w:p>
    <w:p>
      <w:pPr>
        <w:pStyle w:val="Normal"/>
        <w:widowControl/>
        <w:ind w:start="2160" w:end="0"/>
        <w:jc w:val="both"/>
        <w:rPr/>
      </w:pPr>
      <w:r>
        <w:rPr/>
      </w:r>
    </w:p>
    <w:p>
      <w:pPr>
        <w:pStyle w:val="Normal"/>
        <w:widowControl/>
        <w:ind w:hanging="2160" w:start="2160" w:end="0"/>
        <w:jc w:val="both"/>
        <w:rPr/>
      </w:pPr>
      <w:r>
        <w:rPr/>
        <w:t>Load Factor:</w:t>
        <w:tab/>
        <w:t>100 % (“flat”) for all hours</w:t>
      </w:r>
    </w:p>
    <w:p>
      <w:pPr>
        <w:pStyle w:val="Normal"/>
        <w:widowControl/>
        <w:ind w:hanging="2160" w:start="2160" w:end="0"/>
        <w:jc w:val="both"/>
        <w:rPr/>
      </w:pPr>
      <w:r>
        <w:rPr/>
      </w:r>
    </w:p>
    <w:p>
      <w:pPr>
        <w:pStyle w:val="Normal"/>
        <w:widowControl/>
        <w:ind w:hanging="2160" w:start="2160" w:end="0"/>
        <w:jc w:val="both"/>
        <w:rPr/>
      </w:pPr>
      <w:r>
        <w:rPr/>
        <w:t>Term:</w:t>
        <w:tab/>
        <w:t xml:space="preserve">Multiple length terms, intended to commence July 1,2000.  The length of the proposed agreement may be extended upon mutual consent.  </w:t>
      </w:r>
    </w:p>
    <w:p>
      <w:pPr>
        <w:pStyle w:val="Normal"/>
        <w:widowControl/>
        <w:ind w:hanging="2160" w:start="2160" w:end="0"/>
        <w:jc w:val="both"/>
        <w:rPr/>
      </w:pPr>
      <w:r>
        <w:rPr/>
      </w:r>
    </w:p>
    <w:p>
      <w:pPr>
        <w:pStyle w:val="BodyTextIndent2"/>
        <w:widowControl/>
        <w:jc w:val="both"/>
        <w:rPr>
          <w:sz w:val="24"/>
        </w:rPr>
      </w:pPr>
      <w:r>
        <w:rPr>
          <w:sz w:val="24"/>
        </w:rPr>
        <w:t>Pricing:</w:t>
        <w:tab/>
        <w:t xml:space="preserve">Prices will be honored through 4:00 PM PPT the day they are requested and can be “refreshed” on a daily basis if need be.  </w:t>
      </w:r>
    </w:p>
    <w:p>
      <w:pPr>
        <w:pStyle w:val="NormalIndent"/>
        <w:widowControl/>
        <w:ind w:start="0" w:end="0"/>
        <w:rPr>
          <w:b/>
          <w:sz w:val="24"/>
        </w:rPr>
      </w:pPr>
      <w:r>
        <w:rPr>
          <w:b/>
          <w:sz w:val="24"/>
        </w:rPr>
      </w:r>
    </w:p>
    <w:p>
      <w:pPr>
        <w:pStyle w:val="NormalIndent"/>
        <w:widowControl/>
        <w:ind w:hanging="2160" w:start="2160" w:end="0"/>
        <w:rPr>
          <w:b/>
        </w:rPr>
      </w:pPr>
      <w:r>
        <w:rPr/>
        <w:t>Transmission:</w:t>
        <w:tab/>
        <w:t>Enron will be responsible for any and all costs and or arrangements in regards to transmission up to the Montana Power Company (MPC) System Border. MPC will impose additional intra-system transmission and related ancillary charges, which the customer will be responsible for.</w:t>
      </w:r>
    </w:p>
    <w:p>
      <w:pPr>
        <w:pStyle w:val="NormalIndent"/>
        <w:widowControl/>
        <w:ind w:start="0" w:end="0"/>
        <w:rPr>
          <w:b/>
        </w:rPr>
      </w:pPr>
      <w:r>
        <w:rPr>
          <w:b/>
        </w:rPr>
      </w:r>
    </w:p>
    <w:p>
      <w:pPr>
        <w:pStyle w:val="Normal"/>
        <w:widowControl/>
        <w:ind w:hanging="2160" w:start="2160" w:end="0"/>
        <w:jc w:val="both"/>
        <w:rPr/>
      </w:pPr>
      <w:r>
        <w:rPr/>
        <w:t>Taxes:</w:t>
        <w:tab/>
        <w:t>All existing and or proposed taxes would be the sole responsibility of Energy West.</w:t>
      </w:r>
    </w:p>
    <w:p>
      <w:pPr>
        <w:pStyle w:val="NormalIndent"/>
        <w:widowControl/>
        <w:ind w:start="0" w:end="0"/>
        <w:rPr>
          <w:b/>
        </w:rPr>
      </w:pPr>
      <w:r>
        <w:rPr>
          <w:b/>
        </w:rPr>
      </w:r>
    </w:p>
    <w:p>
      <w:pPr>
        <w:pStyle w:val="BodyTextIndent"/>
        <w:ind w:hanging="2880" w:start="2880" w:end="0"/>
        <w:rPr/>
      </w:pPr>
      <w:r>
        <w:rPr/>
        <w:t>Mid-Columbia (MC) Index:</w:t>
        <w:tab/>
        <w:t>MC Index means the daily Dow Jones Mid-Columbia Electricity Price Index for firm power. The MC index will be the monthly weighted average of the Firm daily MC On-Peak, Off-Peak, and Sunday Only prices for electricity traded at the MC quoted in dollars per megawatt hour.  Under the “index” pricing provision, the customer’s monthly summation of their daily On, Off, and Sunday consumption would be multiplied by the corresponding daily index plus (+) the MC “adder” if applicable, which would constitute the customer’s monthly energy charge for that billing period.</w:t>
      </w:r>
    </w:p>
    <w:p>
      <w:pPr>
        <w:pStyle w:val="NormalIndent"/>
        <w:widowControl/>
        <w:ind w:hanging="2880" w:start="2880" w:end="0"/>
        <w:jc w:val="both"/>
        <w:rPr/>
      </w:pPr>
      <w:r>
        <w:rPr/>
      </w:r>
    </w:p>
    <w:p>
      <w:pPr>
        <w:pStyle w:val="NormalIndent"/>
        <w:widowControl/>
        <w:ind w:hanging="2880" w:start="2880" w:end="0"/>
        <w:jc w:val="both"/>
        <w:rPr/>
      </w:pPr>
      <w:r>
        <w:rPr/>
        <w:t>Re-marketing:</w:t>
        <w:tab/>
        <w:t xml:space="preserve">For the customer’s financial benefit and ease of operation, EPMI suggests the purchase of a “flat” 100% Load Factor product at a set MW volume designed to optimally meet their operational requirements.  EPMI’s market presence allows for the flexibility of being able to either purchase or re-market any whole MW volumes of commodity energy.  Transactions can be made on a Pre-schedule or a Real-Time basis.  All required purchases on behalf of the customer would be at the then-current documented market price plus (+) the MC “adder” if applicable.  In the case of excess MW volumes, EPMI agrees to sell excess MW volumes into the market on a need be basis.  The re-market price would be the weighted average of daily prices thus accounting for the price differences between On and Off Peak price discrepancies.  If EPMI were able to secure a re-market price in excess of the contracted price, the excess would be split between Energy West and EPMI respectively on a 75/25% basis.  If EPMI were forced to re-market energy for less than the contracted price, EPMI would verify and credit Energy West for 100% of the market value of the re-marketed energy. In all scenarios, Energy West would agree to hold EPMI financially whole for all MW volumes at the previously agreed upon contractual price even in the rare instance of having to pay a third party to take any excess MW volumes of energy. </w:t>
      </w:r>
    </w:p>
    <w:p>
      <w:pPr>
        <w:pStyle w:val="NormalIndent"/>
        <w:widowControl/>
        <w:ind w:hanging="2880" w:start="2880" w:end="0"/>
        <w:jc w:val="both"/>
        <w:rPr/>
      </w:pPr>
      <w:r>
        <w:rPr/>
      </w:r>
    </w:p>
    <w:p>
      <w:pPr>
        <w:pStyle w:val="Normal"/>
        <w:widowControl/>
        <w:ind w:hanging="2880" w:start="2880" w:end="0"/>
        <w:jc w:val="both"/>
        <w:rPr/>
      </w:pPr>
      <w:r>
        <w:rPr/>
        <w:t>Delivery Point:</w:t>
        <w:tab/>
        <w:t xml:space="preserve">Enron will deliver firm energy to the MPC system border.  The customer is responsible for all costs associated with Transmission, Distribution, and Ancillary services levied by MPC. </w:t>
      </w:r>
    </w:p>
    <w:p>
      <w:pPr>
        <w:pStyle w:val="Normal"/>
        <w:widowControl/>
        <w:ind w:hanging="2880" w:start="2880" w:end="0"/>
        <w:jc w:val="both"/>
        <w:rPr/>
      </w:pPr>
      <w:r>
        <w:rPr/>
      </w:r>
    </w:p>
    <w:p>
      <w:pPr>
        <w:pStyle w:val="Normal"/>
        <w:widowControl/>
        <w:ind w:hanging="2880" w:start="2880" w:end="0"/>
        <w:jc w:val="both"/>
        <w:rPr/>
      </w:pPr>
      <w:r>
        <w:rPr/>
      </w:r>
    </w:p>
    <w:p>
      <w:pPr>
        <w:pStyle w:val="Normal"/>
        <w:widowControl/>
        <w:ind w:hanging="2880" w:start="2880" w:end="0"/>
        <w:jc w:val="both"/>
        <w:rPr/>
      </w:pPr>
      <w:r>
        <w:rPr/>
        <w:t>Scheduling:</w:t>
        <w:tab/>
        <w:t>Energy West and Enron would agree on scheduling provisions consistent with WSCC industry standard practice and any applicable MPC retail access scheduling provisions. The hourly load schedule will be nominated by EPMI on a day-ahead basis and can be adjusted hourly throughout the day if need be.</w:t>
      </w:r>
    </w:p>
    <w:p>
      <w:pPr>
        <w:pStyle w:val="Normal"/>
        <w:ind w:hanging="1440" w:start="1440" w:end="0"/>
        <w:jc w:val="both"/>
        <w:rPr/>
      </w:pPr>
      <w:r>
        <w:rPr/>
      </w:r>
    </w:p>
    <w:p>
      <w:pPr>
        <w:pStyle w:val="Normal"/>
        <w:widowControl/>
        <w:ind w:hanging="2880" w:start="2880" w:end="0"/>
        <w:jc w:val="both"/>
        <w:rPr/>
      </w:pPr>
      <w:r>
        <w:rPr/>
        <w:t xml:space="preserve">Energy Imbalance: </w:t>
        <w:tab/>
        <w:t>The customer will be responsible for any and all financial benefits or costs associated with an Energy Imbalance as described in MPC’s tariff.</w:t>
      </w:r>
    </w:p>
    <w:p>
      <w:pPr>
        <w:pStyle w:val="Normal"/>
        <w:widowControl/>
        <w:ind w:hanging="2880" w:start="2880" w:end="0"/>
        <w:jc w:val="both"/>
        <w:rPr/>
      </w:pPr>
      <w:r>
        <w:rPr/>
      </w:r>
    </w:p>
    <w:p>
      <w:pPr>
        <w:pStyle w:val="BodyTextIndent"/>
        <w:ind w:hanging="2880" w:start="2880" w:end="0"/>
        <w:jc w:val="both"/>
        <w:rPr/>
      </w:pPr>
      <w:r>
        <w:rPr/>
        <w:t>Losses:</w:t>
        <w:tab/>
        <w:t xml:space="preserve">EPMI would be responsible for all associated Transmission losses up to the MPC system border.  The customer would be responsible for all MPC intra-system Transmission and Distribution losses from beyond the Delivery Point. </w:t>
      </w:r>
    </w:p>
    <w:p>
      <w:pPr>
        <w:pStyle w:val="NormalIndent"/>
        <w:widowControl/>
        <w:ind w:start="0" w:end="0"/>
        <w:rPr>
          <w:b/>
        </w:rPr>
      </w:pPr>
      <w:r>
        <w:rPr>
          <w:b/>
        </w:rPr>
        <w:t>Pricing Options</w:t>
      </w:r>
    </w:p>
    <w:p>
      <w:pPr>
        <w:pStyle w:val="NormalIndent"/>
        <w:widowControl/>
        <w:ind w:start="0" w:end="0"/>
        <w:rPr>
          <w:b/>
        </w:rPr>
      </w:pPr>
      <w:r>
        <w:rPr>
          <w:b/>
        </w:rPr>
      </w:r>
    </w:p>
    <w:p>
      <w:pPr>
        <w:pStyle w:val="NormalIndent"/>
        <w:widowControl/>
        <w:ind w:start="0" w:end="0"/>
        <w:jc w:val="both"/>
        <w:rPr/>
      </w:pPr>
      <w:r>
        <w:rPr/>
        <w:t>Contractually and financially firm energy with liquidated damages including Spinning and or Supplemental Reserves as required by Montana Power Company (MPC).  Such inclusion will negate the need for the customer to purchase such services from MPC.</w:t>
      </w:r>
    </w:p>
    <w:p>
      <w:pPr>
        <w:pStyle w:val="NormalIndent"/>
        <w:widowControl/>
        <w:ind w:start="0" w:end="0"/>
        <w:jc w:val="both"/>
        <w:rPr/>
      </w:pPr>
      <w:r>
        <w:rPr/>
      </w:r>
    </w:p>
    <w:p>
      <w:pPr>
        <w:pStyle w:val="Heading8"/>
        <w:rPr>
          <w:b/>
        </w:rPr>
      </w:pPr>
      <w:r>
        <w:rPr>
          <w:b/>
        </w:rPr>
        <w:t xml:space="preserve">Section #1 – Base Pricing </w:t>
      </w:r>
    </w:p>
    <w:p>
      <w:pPr>
        <w:pStyle w:val="Heading7"/>
        <w:rPr>
          <w:b w:val="false"/>
        </w:rPr>
      </w:pPr>
      <w:r>
        <w:rPr>
          <w:b w:val="false"/>
        </w:rPr>
      </w:r>
    </w:p>
    <w:p>
      <w:pPr>
        <w:pStyle w:val="Heading7"/>
        <w:rPr/>
      </w:pPr>
      <w:r>
        <w:rPr/>
        <w:t xml:space="preserve">Fixed Price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Minimum of 40 MWs with the customer having the right but not the obligation to purchase a maximum of 46 MWs on a pre-schedule basis.</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 xml:space="preserve">One Year </w:t>
            </w:r>
          </w:p>
          <w:p>
            <w:pPr>
              <w:pStyle w:val="Heading7"/>
              <w:ind w:hanging="0" w:start="0" w:end="0"/>
              <w:rPr>
                <w:b w:val="false"/>
              </w:rPr>
            </w:pPr>
            <w:r>
              <w:rPr>
                <w:b w:val="false"/>
              </w:rPr>
              <w:t>7/1/00 – 6/30/01</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jc w:val="center"/>
              <w:rPr/>
            </w:pPr>
            <w:r>
              <w:rPr/>
              <w:t>$45.00/MWh</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Three Years</w:t>
            </w:r>
          </w:p>
          <w:p>
            <w:pPr>
              <w:pStyle w:val="Normal"/>
              <w:rPr/>
            </w:pPr>
            <w:r>
              <w:rPr/>
              <w:t>7/1/00 – 6/30/03</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$41.05/MWh</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Five Years</w:t>
            </w:r>
          </w:p>
          <w:p>
            <w:pPr>
              <w:pStyle w:val="Normal"/>
              <w:jc w:val="center"/>
              <w:rPr/>
            </w:pPr>
            <w:r>
              <w:rPr/>
              <w:t>7/1/00 – 6/30/05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$38.95/MWh</w:t>
            </w:r>
          </w:p>
        </w:tc>
      </w:tr>
    </w:tbl>
    <w:p>
      <w:pPr>
        <w:pStyle w:val="Normal"/>
        <w:rPr/>
      </w:pPr>
      <w:r>
        <w:rPr/>
      </w:r>
    </w:p>
    <w:p>
      <w:pPr>
        <w:pStyle w:val="Normal"/>
        <w:rPr/>
      </w:pPr>
      <w:r>
        <w:rPr/>
      </w:r>
    </w:p>
    <w:p>
      <w:pPr>
        <w:pStyle w:val="Normal"/>
        <w:rPr/>
      </w:pPr>
      <w:r>
        <w:rPr/>
      </w:r>
    </w:p>
    <w:p>
      <w:pPr>
        <w:pStyle w:val="Normal"/>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Heading7"/>
        <w:rPr/>
      </w:pPr>
      <w:r>
        <w:rPr/>
        <w:t>Indexed Price Quotation</w:t>
      </w:r>
    </w:p>
    <w:p>
      <w:pPr>
        <w:pStyle w:val="Normal"/>
        <w:ind w:hanging="720" w:start="720" w:end="0"/>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Minimum of 40 MWs </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 xml:space="preserve">One Year </w:t>
            </w:r>
          </w:p>
          <w:p>
            <w:pPr>
              <w:pStyle w:val="Heading7"/>
              <w:ind w:hanging="0" w:start="0" w:end="0"/>
              <w:rPr>
                <w:b w:val="false"/>
              </w:rPr>
            </w:pPr>
            <w:r>
              <w:rPr>
                <w:b w:val="false"/>
              </w:rPr>
              <w:t>7/1/00 – 6/30/01</w:t>
            </w:r>
          </w:p>
          <w:p>
            <w:pPr>
              <w:pStyle w:val="Normal"/>
              <w:rPr>
                <w:b/>
              </w:rPr>
            </w:pPr>
            <w:r>
              <w:rPr>
                <w:b/>
              </w:rPr>
            </w:r>
          </w:p>
          <w:p>
            <w:pPr>
              <w:pStyle w:val="Normal"/>
              <w:jc w:val="center"/>
              <w:rPr/>
            </w:pPr>
            <w:r>
              <w:rPr/>
              <w:t>MC plus (+) $.25/MWh</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Three Years</w:t>
            </w:r>
          </w:p>
          <w:p>
            <w:pPr>
              <w:pStyle w:val="Normal"/>
              <w:rPr/>
            </w:pPr>
            <w:r>
              <w:rPr/>
              <w:t>7/1/00 – 6/30/03</w:t>
            </w:r>
          </w:p>
          <w:p>
            <w:pPr>
              <w:pStyle w:val="Normal"/>
              <w:rPr/>
            </w:pPr>
            <w:r>
              <w:rPr/>
            </w:r>
          </w:p>
          <w:p>
            <w:pPr>
              <w:pStyle w:val="Normal"/>
              <w:jc w:val="center"/>
              <w:rPr/>
            </w:pPr>
            <w:r>
              <w:rPr/>
              <w:t>MC plus (+) $.25/MWh</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Five Years</w:t>
            </w:r>
          </w:p>
          <w:p>
            <w:pPr>
              <w:pStyle w:val="Normal"/>
              <w:jc w:val="center"/>
              <w:rPr/>
            </w:pPr>
            <w:r>
              <w:rPr/>
              <w:t>7/1/00 – 6/30/05</w:t>
            </w:r>
          </w:p>
          <w:p>
            <w:pPr>
              <w:pStyle w:val="Normal"/>
              <w:jc w:val="center"/>
              <w:rPr/>
            </w:pPr>
            <w:r>
              <w:rPr/>
            </w:r>
          </w:p>
          <w:p>
            <w:pPr>
              <w:pStyle w:val="Normal"/>
              <w:jc w:val="center"/>
              <w:rPr/>
            </w:pPr>
            <w:r>
              <w:rPr/>
              <w:t>MC plus (+) $.25/MWh</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For the customer having the right but not the obligation to purchase a maximum of six (6) additional MWs on a pre-schedule basis.</w:t>
            </w:r>
          </w:p>
          <w:p>
            <w:pPr>
              <w:pStyle w:val="Normal"/>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MC plus (+) $1.05/MWh</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MC plus (+) $1.05/MWh</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MC plus (+) $1.05/MWh</w:t>
            </w:r>
          </w:p>
        </w:tc>
      </w:tr>
    </w:tbl>
    <w:p>
      <w:pPr>
        <w:pStyle w:val="Normal"/>
        <w:ind w:hanging="720" w:start="720" w:end="0"/>
        <w:rPr/>
      </w:pPr>
      <w:r>
        <w:rPr/>
      </w:r>
    </w:p>
    <w:p>
      <w:pPr>
        <w:pStyle w:val="BodyTextIndent"/>
        <w:ind w:hanging="2880" w:start="2880" w:end="0"/>
        <w:jc w:val="both"/>
        <w:rPr/>
      </w:pPr>
      <w:r>
        <w:rPr/>
      </w:r>
    </w:p>
    <w:p>
      <w:pPr>
        <w:pStyle w:val="BodyTextIndent"/>
        <w:ind w:hanging="2880" w:start="2880" w:end="0"/>
        <w:jc w:val="both"/>
        <w:rPr/>
      </w:pPr>
      <w:r>
        <w:rPr/>
      </w:r>
    </w:p>
    <w:p>
      <w:pPr>
        <w:pStyle w:val="BodyTextIndent"/>
        <w:ind w:hanging="2880" w:start="2880" w:end="0"/>
        <w:jc w:val="both"/>
        <w:rPr>
          <w:b/>
          <w:u w:val="single"/>
        </w:rPr>
      </w:pPr>
      <w:r>
        <w:rPr>
          <w:b/>
          <w:u w:val="single"/>
        </w:rPr>
        <w:t>Section #2 – Additional Pricing Options</w:t>
      </w:r>
    </w:p>
    <w:p>
      <w:pPr>
        <w:pStyle w:val="BodyTextIndent"/>
        <w:ind w:hanging="2880" w:start="2880" w:end="0"/>
        <w:jc w:val="both"/>
        <w:rPr>
          <w:b/>
          <w:u w:val="single"/>
        </w:rPr>
      </w:pPr>
      <w:r>
        <w:rPr>
          <w:b/>
          <w:u w:val="single"/>
        </w:rPr>
      </w:r>
    </w:p>
    <w:p>
      <w:pPr>
        <w:pStyle w:val="BodyText3"/>
        <w:widowControl/>
        <w:ind w:hanging="2880" w:start="2880" w:end="0"/>
        <w:jc w:val="both"/>
        <w:rPr>
          <w:i/>
          <w:i/>
          <w:sz w:val="24"/>
        </w:rPr>
      </w:pPr>
      <w:r>
        <w:rPr>
          <w:i/>
          <w:sz w:val="24"/>
        </w:rPr>
        <w:t xml:space="preserve">Price conversations: </w:t>
      </w:r>
    </w:p>
    <w:p>
      <w:pPr>
        <w:pStyle w:val="BodyText3"/>
        <w:widowControl/>
        <w:ind w:start="2880" w:end="0"/>
        <w:jc w:val="both"/>
        <w:rPr>
          <w:sz w:val="24"/>
        </w:rPr>
      </w:pPr>
      <w:r>
        <w:rPr>
          <w:sz w:val="24"/>
        </w:rPr>
        <w:t>Regardless of the customer’s initial decision regarding fixed or indexed prices, the customer would always have the opportunity to convert fixed prices to indexed or vice-a- versa for any amount of time and whole MW volumes of energy.  All conversions would be based upon mutually agreeable market based prices and contract terms &amp; conditions at the time of conversion.</w:t>
      </w:r>
    </w:p>
    <w:p>
      <w:pPr>
        <w:pStyle w:val="BodyText3"/>
        <w:widowControl/>
        <w:ind w:start="2880" w:end="0"/>
        <w:jc w:val="both"/>
        <w:rPr>
          <w:sz w:val="24"/>
        </w:rPr>
      </w:pPr>
      <w:r>
        <w:rPr>
          <w:sz w:val="24"/>
        </w:rPr>
      </w:r>
    </w:p>
    <w:p>
      <w:pPr>
        <w:pStyle w:val="BodyText3"/>
        <w:widowControl/>
        <w:ind w:hanging="2880" w:start="2880" w:end="0"/>
        <w:jc w:val="both"/>
        <w:rPr>
          <w:i/>
          <w:i/>
          <w:sz w:val="24"/>
        </w:rPr>
      </w:pPr>
      <w:r>
        <w:rPr>
          <w:i/>
          <w:sz w:val="24"/>
        </w:rPr>
        <w:t>Index Price with financial protection (40 MW):</w:t>
        <w:tab/>
      </w:r>
    </w:p>
    <w:p>
      <w:pPr>
        <w:pStyle w:val="BodyText3"/>
        <w:widowControl/>
        <w:ind w:hanging="2880" w:start="2880" w:end="0"/>
        <w:jc w:val="center"/>
        <w:rPr>
          <w:b/>
          <w:sz w:val="24"/>
        </w:rPr>
      </w:pPr>
      <w:r>
        <w:rPr>
          <w:b/>
          <w:sz w:val="24"/>
        </w:rPr>
        <w:t>Financial Ceiling</w:t>
      </w:r>
    </w:p>
    <w:p>
      <w:pPr>
        <w:pStyle w:val="BodyText3"/>
        <w:widowControl/>
        <w:ind w:hanging="2880" w:start="2880" w:end="0"/>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Mid-Columbia Financial Cap of:</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 xml:space="preserve">One Year </w:t>
            </w:r>
          </w:p>
          <w:p>
            <w:pPr>
              <w:pStyle w:val="Heading7"/>
              <w:ind w:hanging="0" w:start="0" w:end="0"/>
              <w:rPr>
                <w:b w:val="false"/>
              </w:rPr>
            </w:pPr>
            <w:r>
              <w:rPr>
                <w:b w:val="false"/>
              </w:rPr>
              <w:t>7/1/00 – 6/30/01</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Three Years</w:t>
            </w:r>
          </w:p>
          <w:p>
            <w:pPr>
              <w:pStyle w:val="Normal"/>
              <w:rPr/>
            </w:pPr>
            <w:r>
              <w:rPr/>
              <w:t>7/1/00 – 6/30/03</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Five Years</w:t>
            </w:r>
          </w:p>
          <w:p>
            <w:pPr>
              <w:pStyle w:val="Normal"/>
              <w:jc w:val="center"/>
              <w:rPr/>
            </w:pPr>
            <w:r>
              <w:rPr/>
              <w:t>7/1/00 – 6/30/05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$50/MWh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plus (+) $3.26/MWh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plus (+) $2.53/MWh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plus (+) $2.31/MWh</w:t>
            </w:r>
          </w:p>
        </w:tc>
      </w:tr>
      <w:tr>
        <w:trPr/>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$55/MWh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plus (+) $1.94/MWh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plus (+) $1.53/MWh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plus (+) $1.46/MWh</w:t>
            </w:r>
          </w:p>
        </w:tc>
      </w:tr>
    </w:tbl>
    <w:p>
      <w:pPr>
        <w:pStyle w:val="BodyText3"/>
        <w:widowControl/>
        <w:ind w:hanging="2880" w:start="2880" w:end="0"/>
        <w:jc w:val="center"/>
        <w:rPr>
          <w:b/>
          <w:sz w:val="24"/>
        </w:rPr>
      </w:pPr>
      <w:r>
        <w:rPr>
          <w:b/>
          <w:sz w:val="24"/>
        </w:rPr>
      </w:r>
    </w:p>
    <w:p>
      <w:pPr>
        <w:pStyle w:val="BodyText3"/>
        <w:widowControl/>
        <w:ind w:hanging="2880" w:start="2880" w:end="0"/>
        <w:jc w:val="both"/>
        <w:rPr>
          <w:sz w:val="24"/>
        </w:rPr>
      </w:pPr>
      <w:r>
        <w:rPr>
          <w:i/>
          <w:sz w:val="24"/>
        </w:rPr>
        <w:t>Index price with associated Put Option (40 MW):</w:t>
      </w:r>
    </w:p>
    <w:p>
      <w:pPr>
        <w:pStyle w:val="BodyText3"/>
        <w:widowControl/>
        <w:ind w:hanging="2880" w:start="2880" w:end="0"/>
        <w:jc w:val="center"/>
        <w:rPr>
          <w:b/>
          <w:sz w:val="24"/>
        </w:rPr>
      </w:pPr>
      <w:r>
        <w:rPr>
          <w:b/>
          <w:sz w:val="24"/>
        </w:rPr>
        <w:t>Financial Floor</w:t>
      </w:r>
    </w:p>
    <w:p>
      <w:pPr>
        <w:pStyle w:val="BodyText3"/>
        <w:widowControl/>
        <w:ind w:hanging="2880" w:start="2880" w:end="0"/>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Mid-Columbia Financial Floor of:</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 xml:space="preserve">One Year </w:t>
            </w:r>
          </w:p>
          <w:p>
            <w:pPr>
              <w:pStyle w:val="Heading7"/>
              <w:ind w:hanging="0" w:start="0" w:end="0"/>
              <w:rPr>
                <w:b w:val="false"/>
              </w:rPr>
            </w:pPr>
            <w:r>
              <w:rPr>
                <w:b w:val="false"/>
              </w:rPr>
              <w:t>7/1/00 – 6/30/01</w:t>
            </w:r>
          </w:p>
        </w:tc>
        <w:tc>
          <w:tcPr>
            <w:tcW w:w="221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Three Years</w:t>
            </w:r>
          </w:p>
          <w:p>
            <w:pPr>
              <w:pStyle w:val="Normal"/>
              <w:rPr/>
            </w:pPr>
            <w:r>
              <w:rPr/>
              <w:t>7/1/00 – 6/30/03</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Five Years</w:t>
            </w:r>
          </w:p>
          <w:p>
            <w:pPr>
              <w:pStyle w:val="Normal"/>
              <w:jc w:val="center"/>
              <w:rPr/>
            </w:pPr>
            <w:r>
              <w:rPr/>
              <w:t>7/1/00 – 6/30/05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$30/MWh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minus (-) $.39/MWh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minus (-) $1.16/MWh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minus (-)  $1.83/MWh</w:t>
            </w:r>
          </w:p>
        </w:tc>
      </w:tr>
      <w:tr>
        <w:trPr/>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$35/MWh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minus (-) $1.60/MWh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minus (-) $2.89/MWh</w:t>
            </w:r>
          </w:p>
        </w:tc>
        <w:tc>
          <w:tcPr>
            <w:tcW w:w="2214"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MC minus (-) $3.91/MWh</w:t>
            </w:r>
          </w:p>
        </w:tc>
      </w:tr>
    </w:tbl>
    <w:p>
      <w:pPr>
        <w:pStyle w:val="BodyText3"/>
        <w:widowControl/>
        <w:ind w:hanging="2880" w:start="2880" w:end="0"/>
        <w:jc w:val="both"/>
        <w:rPr>
          <w:sz w:val="24"/>
        </w:rPr>
      </w:pPr>
      <w:r>
        <w:rPr>
          <w:sz w:val="24"/>
        </w:rPr>
      </w:r>
    </w:p>
    <w:p>
      <w:pPr>
        <w:pStyle w:val="BodyText3"/>
        <w:widowControl/>
        <w:ind w:start="0" w:end="0"/>
        <w:jc w:val="both"/>
        <w:rPr/>
      </w:pPr>
      <w:r>
        <w:rPr>
          <w:sz w:val="22"/>
        </w:rPr>
        <w:t xml:space="preserve">Under this pricing scenario, the customer would be </w:t>
      </w:r>
      <w:r>
        <w:rPr>
          <w:i/>
          <w:sz w:val="22"/>
        </w:rPr>
        <w:t>obligated</w:t>
      </w:r>
      <w:r>
        <w:rPr>
          <w:sz w:val="22"/>
        </w:rPr>
        <w:t xml:space="preserve"> to pay no less than the associated Financial Floor for a minimum of 40 MWs.  Any additional MW volumes would be priced under the previously mentioned Index Pricing option.  </w:t>
      </w:r>
    </w:p>
    <w:p>
      <w:pPr>
        <w:pStyle w:val="BodyText3"/>
        <w:widowControl/>
        <w:ind w:start="0" w:end="0"/>
        <w:jc w:val="both"/>
        <w:rPr>
          <w:sz w:val="24"/>
        </w:rPr>
      </w:pPr>
      <w:r>
        <w:rPr>
          <w:sz w:val="24"/>
        </w:rPr>
      </w:r>
    </w:p>
    <w:p>
      <w:pPr>
        <w:pStyle w:val="BodyText3"/>
        <w:widowControl/>
        <w:ind w:start="0" w:end="0"/>
        <w:jc w:val="both"/>
        <w:rPr>
          <w:i/>
          <w:i/>
          <w:sz w:val="24"/>
        </w:rPr>
      </w:pPr>
      <w:r>
        <w:rPr>
          <w:i/>
          <w:sz w:val="24"/>
        </w:rPr>
        <w:t>Index price with limited Market participation:</w:t>
      </w:r>
    </w:p>
    <w:p>
      <w:pPr>
        <w:pStyle w:val="BodyText3"/>
        <w:widowControl/>
        <w:ind w:start="0" w:end="0"/>
        <w:jc w:val="both"/>
        <w:rPr>
          <w:i/>
          <w:i/>
          <w:sz w:val="24"/>
        </w:rPr>
      </w:pPr>
      <w:r>
        <w:rPr>
          <w:i/>
          <w:sz w:val="24"/>
        </w:rPr>
      </w:r>
    </w:p>
    <w:p>
      <w:pPr>
        <w:pStyle w:val="BodyText3"/>
        <w:widowControl/>
        <w:ind w:hanging="2880" w:start="2880" w:end="0"/>
        <w:jc w:val="center"/>
        <w:rPr>
          <w:b/>
          <w:sz w:val="24"/>
        </w:rPr>
      </w:pPr>
      <w:r>
        <w:rPr>
          <w:b/>
          <w:sz w:val="24"/>
        </w:rPr>
        <w:t>Financial Cost-less Collar</w:t>
      </w:r>
    </w:p>
    <w:p>
      <w:pPr>
        <w:pStyle w:val="BodyText3"/>
        <w:widowControl/>
        <w:ind w:hanging="2880" w:start="2880" w:end="0"/>
        <w:jc w:val="center"/>
        <w:rPr>
          <w:b/>
          <w:sz w:val="24"/>
        </w:rPr>
      </w:pPr>
      <w:r>
        <w:rPr>
          <w:b/>
          <w:sz w:val="24"/>
        </w:rPr>
      </w:r>
    </w:p>
    <w:p>
      <w:pPr>
        <w:pStyle w:val="BodyText3"/>
        <w:widowControl/>
        <w:ind w:hanging="2880" w:start="2880" w:end="0"/>
        <w:rPr/>
      </w:pPr>
      <w:r>
        <w:rPr>
          <w:sz w:val="22"/>
          <w:u w:val="single"/>
        </w:rPr>
        <w:t>Cost-less Collar Energy Sale:</w:t>
      </w:r>
      <w:r>
        <w:rPr>
          <w:sz w:val="22"/>
        </w:rPr>
        <w:t xml:space="preserve"> </w:t>
        <w:tab/>
        <w:t xml:space="preserve">The customer would pay no more than a predetermined maximum dollar amount per MWh or less than a corresponding minimum dollar value per MWh.  If the chosen maximum dollar values in this example do not meet the customer’s needs, the customer would be given the latitude of choosing either the Cap </w:t>
      </w:r>
      <w:r>
        <w:rPr>
          <w:b/>
          <w:sz w:val="22"/>
          <w:u w:val="single"/>
        </w:rPr>
        <w:t>or</w:t>
      </w:r>
      <w:r>
        <w:rPr>
          <w:sz w:val="22"/>
        </w:rPr>
        <w:t xml:space="preserve"> the Floor dollar value and Enron would re-calculate the corresponding Cap </w:t>
      </w:r>
      <w:r>
        <w:rPr>
          <w:b/>
          <w:sz w:val="22"/>
          <w:u w:val="single"/>
        </w:rPr>
        <w:t>or</w:t>
      </w:r>
      <w:r>
        <w:rPr>
          <w:sz w:val="22"/>
        </w:rPr>
        <w:t xml:space="preserve"> Floor dollar value. </w:t>
      </w:r>
    </w:p>
    <w:p>
      <w:pPr>
        <w:pStyle w:val="BodyText3"/>
        <w:widowControl/>
        <w:ind w:hanging="2880" w:start="2880" w:end="0"/>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Prices based upon the Mid-Columbia Index:</w:t>
            </w:r>
          </w:p>
        </w:tc>
        <w:tc>
          <w:tcPr>
            <w:tcW w:w="2952" w:type="dxa"/>
            <w:tcBorders>
              <w:top w:val="single" w:sz="4" w:space="0" w:color="000000"/>
              <w:start w:val="single" w:sz="4" w:space="0" w:color="000000"/>
              <w:bottom w:val="single" w:sz="4" w:space="0" w:color="000000"/>
              <w:end w:val="single" w:sz="4" w:space="0" w:color="000000"/>
            </w:tcBorders>
          </w:tcPr>
          <w:p>
            <w:pPr>
              <w:pStyle w:val="BodyText3"/>
              <w:widowControl/>
              <w:ind w:start="0" w:end="0"/>
              <w:jc w:val="center"/>
              <w:rPr>
                <w:sz w:val="24"/>
              </w:rPr>
            </w:pPr>
            <w:r>
              <w:rPr>
                <w:sz w:val="24"/>
              </w:rPr>
              <w:t>One Year</w:t>
            </w:r>
          </w:p>
          <w:p>
            <w:pPr>
              <w:pStyle w:val="BodyText3"/>
              <w:widowControl/>
              <w:spacing w:before="0" w:after="120"/>
              <w:ind w:start="0" w:end="0"/>
              <w:jc w:val="center"/>
              <w:rPr>
                <w:sz w:val="24"/>
              </w:rPr>
            </w:pPr>
            <w:r>
              <w:rPr>
                <w:sz w:val="24"/>
              </w:rPr>
              <w:t>7/1/00 – 6/30/01</w:t>
            </w:r>
          </w:p>
        </w:tc>
        <w:tc>
          <w:tcPr>
            <w:tcW w:w="2952" w:type="dxa"/>
            <w:tcBorders>
              <w:top w:val="single" w:sz="4" w:space="0" w:color="000000"/>
              <w:start w:val="single" w:sz="4" w:space="0" w:color="000000"/>
              <w:bottom w:val="single" w:sz="4" w:space="0" w:color="000000"/>
              <w:end w:val="single" w:sz="4" w:space="0" w:color="000000"/>
            </w:tcBorders>
          </w:tcPr>
          <w:p>
            <w:pPr>
              <w:pStyle w:val="BodyText3"/>
              <w:widowControl/>
              <w:ind w:start="0" w:end="0"/>
              <w:jc w:val="center"/>
              <w:rPr>
                <w:sz w:val="24"/>
              </w:rPr>
            </w:pPr>
            <w:r>
              <w:rPr>
                <w:sz w:val="24"/>
              </w:rPr>
              <w:t>Two Years</w:t>
            </w:r>
          </w:p>
          <w:p>
            <w:pPr>
              <w:pStyle w:val="BodyText3"/>
              <w:widowControl/>
              <w:spacing w:before="0" w:after="120"/>
              <w:ind w:start="0" w:end="0"/>
              <w:jc w:val="center"/>
              <w:rPr>
                <w:sz w:val="24"/>
              </w:rPr>
            </w:pPr>
            <w:r>
              <w:rPr>
                <w:sz w:val="24"/>
              </w:rPr>
              <w:t>7/1/00 – 6/30/02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3"/>
              <w:widowControl/>
              <w:snapToGrid w:val="false"/>
              <w:ind w:start="0" w:end="0"/>
              <w:jc w:val="center"/>
              <w:rPr>
                <w:sz w:val="24"/>
              </w:rPr>
            </w:pPr>
            <w:r>
              <w:rPr>
                <w:sz w:val="24"/>
              </w:rPr>
            </w:r>
          </w:p>
          <w:p>
            <w:pPr>
              <w:pStyle w:val="BodyText3"/>
              <w:widowControl/>
              <w:spacing w:before="0" w:after="120"/>
              <w:ind w:start="0" w:end="0"/>
              <w:jc w:val="center"/>
              <w:rPr>
                <w:sz w:val="24"/>
              </w:rPr>
            </w:pPr>
            <w:r>
              <w:rPr>
                <w:sz w:val="24"/>
              </w:rPr>
              <w:t>40 MW volume</w:t>
            </w:r>
          </w:p>
        </w:tc>
        <w:tc>
          <w:tcPr>
            <w:tcW w:w="2952"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Not greater than $55.00/MWh or less than $35.32/MWh</w:t>
            </w:r>
          </w:p>
        </w:tc>
        <w:tc>
          <w:tcPr>
            <w:tcW w:w="2952"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Not greater than $55.00/MWh or less than $32.46/MWh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3"/>
              <w:widowControl/>
              <w:snapToGrid w:val="false"/>
              <w:ind w:start="0" w:end="0"/>
              <w:jc w:val="center"/>
              <w:rPr>
                <w:sz w:val="24"/>
              </w:rPr>
            </w:pPr>
            <w:r>
              <w:rPr>
                <w:sz w:val="24"/>
              </w:rPr>
            </w:r>
          </w:p>
          <w:p>
            <w:pPr>
              <w:pStyle w:val="BodyText3"/>
              <w:widowControl/>
              <w:spacing w:before="0" w:after="120"/>
              <w:ind w:start="0" w:end="0"/>
              <w:jc w:val="center"/>
              <w:rPr>
                <w:sz w:val="24"/>
              </w:rPr>
            </w:pPr>
            <w:r>
              <w:rPr>
                <w:sz w:val="24"/>
              </w:rPr>
              <w:t>40 MW volume</w:t>
            </w:r>
          </w:p>
        </w:tc>
        <w:tc>
          <w:tcPr>
            <w:tcW w:w="2952"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Not greater than $50.00/MWh or less than $38.94/MWh</w:t>
            </w:r>
          </w:p>
        </w:tc>
        <w:tc>
          <w:tcPr>
            <w:tcW w:w="2952" w:type="dxa"/>
            <w:tcBorders>
              <w:top w:val="single" w:sz="4" w:space="0" w:color="000000"/>
              <w:start w:val="single" w:sz="4" w:space="0" w:color="000000"/>
              <w:bottom w:val="single" w:sz="4" w:space="0" w:color="000000"/>
              <w:end w:val="single" w:sz="4" w:space="0" w:color="000000"/>
            </w:tcBorders>
          </w:tcPr>
          <w:p>
            <w:pPr>
              <w:pStyle w:val="BodyText3"/>
              <w:widowControl/>
              <w:spacing w:before="0" w:after="120"/>
              <w:ind w:start="0" w:end="0"/>
              <w:jc w:val="center"/>
              <w:rPr>
                <w:sz w:val="24"/>
              </w:rPr>
            </w:pPr>
            <w:r>
              <w:rPr>
                <w:sz w:val="24"/>
              </w:rPr>
              <w:t>Not greater than $50.00/MWh or less than $35.65/MWh</w:t>
            </w:r>
          </w:p>
        </w:tc>
      </w:tr>
    </w:tbl>
    <w:p>
      <w:pPr>
        <w:pStyle w:val="BodyText3"/>
        <w:widowControl/>
        <w:ind w:hanging="2880" w:start="2880" w:end="0"/>
        <w:jc w:val="center"/>
        <w:rPr>
          <w:sz w:val="24"/>
        </w:rPr>
      </w:pPr>
      <w:r>
        <w:rPr>
          <w:sz w:val="24"/>
        </w:rPr>
      </w:r>
    </w:p>
    <w:p>
      <w:pPr>
        <w:pStyle w:val="BodyTextIndent"/>
        <w:ind w:hanging="2880" w:start="2880" w:end="0"/>
        <w:jc w:val="both"/>
        <w:rPr>
          <w:i/>
          <w:i/>
          <w:sz w:val="24"/>
        </w:rPr>
      </w:pPr>
      <w:r>
        <w:rPr>
          <w:i/>
          <w:sz w:val="24"/>
        </w:rPr>
      </w:r>
    </w:p>
    <w:p>
      <w:pPr>
        <w:pStyle w:val="BodyTextIndent"/>
        <w:ind w:hanging="2880" w:start="2880" w:end="0"/>
        <w:jc w:val="both"/>
        <w:rPr>
          <w:i/>
          <w:i/>
        </w:rPr>
      </w:pPr>
      <w:r>
        <w:rPr>
          <w:i/>
        </w:rPr>
      </w:r>
    </w:p>
    <w:p>
      <w:pPr>
        <w:pStyle w:val="BodyTextIndent"/>
        <w:ind w:hanging="2880" w:start="2880" w:end="0"/>
        <w:jc w:val="both"/>
        <w:rPr>
          <w:i/>
          <w:i/>
        </w:rPr>
      </w:pPr>
      <w:r>
        <w:rPr>
          <w:i/>
        </w:rPr>
      </w:r>
    </w:p>
    <w:p>
      <w:pPr>
        <w:pStyle w:val="BodyTextIndent"/>
        <w:ind w:hanging="2880" w:start="2880" w:end="0"/>
        <w:jc w:val="both"/>
        <w:rPr>
          <w:i/>
          <w:i/>
        </w:rPr>
      </w:pPr>
      <w:r>
        <w:rPr>
          <w:i/>
        </w:rPr>
        <w:t xml:space="preserve">Optional Term Extension (40 MW minimum): </w:t>
        <w:tab/>
      </w:r>
    </w:p>
    <w:p>
      <w:pPr>
        <w:pStyle w:val="Normal"/>
        <w:ind w:hanging="2880" w:start="2880" w:end="0"/>
        <w:jc w:val="center"/>
        <w:rPr>
          <w:b/>
        </w:rPr>
      </w:pPr>
      <w:r>
        <w:rPr>
          <w:b/>
        </w:rPr>
        <w:t>Put Option</w:t>
      </w:r>
    </w:p>
    <w:p>
      <w:pPr>
        <w:pStyle w:val="Normal"/>
        <w:ind w:hanging="2880" w:start="2880" w:end="0"/>
        <w:jc w:val="center"/>
        <w:rPr>
          <w:b/>
        </w:rPr>
      </w:pPr>
      <w:r>
        <w:rPr>
          <w:b/>
        </w:rPr>
      </w:r>
    </w:p>
    <w:tbl>
      <w:tblPr>
        <w:tblW w:w="7554" w:type="dxa"/>
        <w:jc w:val="center"/>
        <w:tblInd w:w="0" w:type="dxa"/>
        <w:tblLayout w:type="fixed"/>
        <w:tblCellMar>
          <w:top w:w="0" w:type="dxa"/>
          <w:start w:w="108" w:type="dxa"/>
          <w:bottom w:w="0" w:type="dxa"/>
          <w:end w:w="108" w:type="dxa"/>
        </w:tblCellMar>
      </w:tblPr>
      <w:tblGrid>
        <w:gridCol w:w="1884"/>
        <w:gridCol w:w="1800"/>
        <w:gridCol w:w="1890"/>
        <w:gridCol w:w="1980"/>
      </w:tblGrid>
      <w:tr>
        <w:trPr/>
        <w:tc>
          <w:tcPr>
            <w:tcW w:w="1884"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rPr>
            </w:pPr>
            <w:r>
              <w:rPr>
                <w:b w:val="false"/>
              </w:rPr>
              <w:t xml:space="preserve">Two Years </w:t>
            </w:r>
          </w:p>
          <w:p>
            <w:pPr>
              <w:pStyle w:val="Normal"/>
              <w:jc w:val="center"/>
              <w:rPr/>
            </w:pPr>
            <w:r>
              <w:rPr/>
              <w:t>7/1/00–6/30/02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$38.87/MWh</w:t>
            </w:r>
          </w:p>
        </w:tc>
        <w:tc>
          <w:tcPr>
            <w:tcW w:w="1890"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b w:val="false"/>
                <w:i/>
              </w:rPr>
              <w:t>Optional</w:t>
            </w:r>
            <w:r>
              <w:rPr>
                <w:b w:val="false"/>
              </w:rPr>
              <w:t xml:space="preserve"> Year 7/1/02-6/30/03 (*)</w:t>
            </w:r>
            <w:r>
              <w:rPr>
                <w:b w:val="false"/>
                <w:i/>
              </w:rPr>
              <w:t xml:space="preserve"> </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A strike price of $38.87/MWh</w:t>
            </w:r>
          </w:p>
        </w:tc>
      </w:tr>
      <w:tr>
        <w:trPr/>
        <w:tc>
          <w:tcPr>
            <w:tcW w:w="1884" w:type="dxa"/>
            <w:tcBorders>
              <w:top w:val="single" w:sz="4" w:space="0" w:color="000000"/>
              <w:start w:val="single" w:sz="4" w:space="0" w:color="000000"/>
              <w:bottom w:val="single" w:sz="4" w:space="0" w:color="000000"/>
              <w:end w:val="single" w:sz="4" w:space="0" w:color="000000"/>
            </w:tcBorders>
          </w:tcPr>
          <w:p>
            <w:pPr>
              <w:pStyle w:val="Normal"/>
              <w:jc w:val="center"/>
              <w:rPr/>
            </w:pPr>
            <w:r>
              <w:rPr/>
              <w:t>Three Years</w:t>
            </w:r>
          </w:p>
          <w:p>
            <w:pPr>
              <w:pStyle w:val="Normal"/>
              <w:jc w:val="center"/>
              <w:rPr/>
            </w:pPr>
            <w:r>
              <w:rPr/>
              <w:t>7/1/00 – 6/30/03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$38.14/MWh</w:t>
            </w:r>
          </w:p>
        </w:tc>
        <w:tc>
          <w:tcPr>
            <w:tcW w:w="1890"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b w:val="false"/>
                <w:i/>
              </w:rPr>
              <w:t>Optional</w:t>
            </w:r>
            <w:r>
              <w:rPr>
                <w:b w:val="false"/>
              </w:rPr>
              <w:t xml:space="preserve"> Year 7/1/03-6/30/04 (*)</w:t>
            </w:r>
            <w:r>
              <w:rPr>
                <w:b w:val="false"/>
                <w:i/>
              </w:rPr>
              <w:t xml:space="preserve"> </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A strike price of $38.14/MWh</w:t>
            </w:r>
          </w:p>
        </w:tc>
      </w:tr>
      <w:tr>
        <w:trPr/>
        <w:tc>
          <w:tcPr>
            <w:tcW w:w="1884" w:type="dxa"/>
            <w:tcBorders>
              <w:top w:val="single" w:sz="4" w:space="0" w:color="000000"/>
              <w:start w:val="single" w:sz="4" w:space="0" w:color="000000"/>
              <w:bottom w:val="single" w:sz="4" w:space="0" w:color="000000"/>
              <w:end w:val="single" w:sz="4" w:space="0" w:color="000000"/>
            </w:tcBorders>
          </w:tcPr>
          <w:p>
            <w:pPr>
              <w:pStyle w:val="Normal"/>
              <w:jc w:val="center"/>
              <w:rPr/>
            </w:pPr>
            <w:r>
              <w:rPr/>
              <w:t>Five Years</w:t>
            </w:r>
          </w:p>
          <w:p>
            <w:pPr>
              <w:pStyle w:val="Normal"/>
              <w:jc w:val="center"/>
              <w:rPr/>
            </w:pPr>
            <w:r>
              <w:rPr/>
              <w:t>7/1/00 – 6/30/05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$36.95/MWh</w:t>
            </w:r>
          </w:p>
        </w:tc>
        <w:tc>
          <w:tcPr>
            <w:tcW w:w="1890"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b w:val="false"/>
                <w:i/>
              </w:rPr>
              <w:t>Optional</w:t>
            </w:r>
            <w:r>
              <w:rPr>
                <w:b w:val="false"/>
              </w:rPr>
              <w:t xml:space="preserve"> Year 7/1/05-6/30/06 (*)</w:t>
            </w:r>
            <w:r>
              <w:rPr>
                <w:b w:val="false"/>
                <w:i/>
              </w:rPr>
              <w:t xml:space="preserve"> </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A strike price of $36.95/MWh</w:t>
            </w:r>
          </w:p>
        </w:tc>
      </w:tr>
    </w:tbl>
    <w:p>
      <w:pPr>
        <w:pStyle w:val="Normal"/>
        <w:ind w:hanging="2880" w:start="2880" w:end="0"/>
        <w:jc w:val="both"/>
        <w:rPr/>
      </w:pPr>
      <w:r>
        <w:rPr/>
      </w:r>
    </w:p>
    <w:p>
      <w:pPr>
        <w:pStyle w:val="Normal"/>
        <w:jc w:val="both"/>
        <w:rPr/>
      </w:pPr>
      <w:r>
        <w:rPr/>
        <w:t>(*) EPMI would have the right but not the obligation to provide energy at the previously mentioned Strike Prices for the referenced time period.  EPMI would be required to notify the customer prior to May 1</w:t>
      </w:r>
      <w:r>
        <w:rPr>
          <w:vertAlign w:val="superscript"/>
        </w:rPr>
        <w:t>st</w:t>
      </w:r>
      <w:r>
        <w:rPr/>
        <w:t xml:space="preserve"> of the preceding year whether the option to extend the term of the agreement would be exercised. </w:t>
      </w:r>
    </w:p>
    <w:p>
      <w:pPr>
        <w:pStyle w:val="Normal"/>
        <w:jc w:val="both"/>
        <w:rPr/>
      </w:pPr>
      <w:r>
        <w:rPr/>
      </w:r>
    </w:p>
    <w:p>
      <w:pPr>
        <w:pStyle w:val="BodyText3"/>
        <w:widowControl/>
        <w:ind w:start="0" w:end="0"/>
        <w:jc w:val="both"/>
        <w:rPr>
          <w:sz w:val="24"/>
        </w:rPr>
      </w:pPr>
      <w:r>
        <w:rPr>
          <w:sz w:val="24"/>
        </w:rPr>
        <w:t xml:space="preserve">Additional MW volumes not to exceed a maximum of six (6), would be priced under the previously mentioned Index Pricing option. </w:t>
      </w:r>
    </w:p>
    <w:p>
      <w:pPr>
        <w:pStyle w:val="BodyText3"/>
        <w:widowControl/>
        <w:ind w:start="0" w:end="0"/>
        <w:jc w:val="both"/>
        <w:rPr>
          <w:sz w:val="24"/>
        </w:rPr>
      </w:pPr>
      <w:r>
        <w:rPr>
          <w:i/>
          <w:sz w:val="24"/>
        </w:rPr>
        <w:t>Escalating Price Option:</w:t>
      </w:r>
    </w:p>
    <w:p>
      <w:pPr>
        <w:pStyle w:val="BodyText3"/>
        <w:widowControl/>
        <w:ind w:start="0" w:end="0"/>
        <w:jc w:val="both"/>
        <w:rPr>
          <w:sz w:val="24"/>
        </w:rPr>
      </w:pPr>
      <w:r>
        <w:rPr>
          <w:sz w:val="24"/>
        </w:rPr>
        <w:t>EPMI would offer the customer an immediate discounted price (a reduction to prevailing market prices) that over time would escalate.  Based upon prevailing market prices, today the customer would pay $33.49/MWh starting 7/1/00 and escalating linearly at a 3% rate to an ending price of $67.48/MWh on 6/30/02.  A graphic representation can be presented upon request.</w:t>
      </w:r>
    </w:p>
    <w:p>
      <w:pPr>
        <w:pStyle w:val="Normal"/>
        <w:jc w:val="both"/>
        <w:rPr>
          <w:sz w:val="24"/>
        </w:rPr>
      </w:pPr>
      <w:r>
        <w:rPr>
          <w:sz w:val="24"/>
        </w:rPr>
      </w:r>
    </w:p>
    <w:p>
      <w:pPr>
        <w:pStyle w:val="Normal"/>
        <w:ind w:hanging="2880" w:start="2880" w:end="0"/>
        <w:jc w:val="both"/>
        <w:rPr>
          <w:i/>
          <w:i/>
        </w:rPr>
      </w:pPr>
      <w:r>
        <w:rPr>
          <w:i/>
        </w:rPr>
        <w:t>Cross Index Pricing:</w:t>
      </w:r>
    </w:p>
    <w:p>
      <w:pPr>
        <w:pStyle w:val="Normal"/>
        <w:ind w:hanging="2880" w:start="2880" w:end="0"/>
        <w:jc w:val="both"/>
        <w:rPr>
          <w:i/>
          <w:i/>
        </w:rPr>
      </w:pPr>
      <w:r>
        <w:rPr>
          <w:i/>
        </w:rPr>
      </w:r>
    </w:p>
    <w:p>
      <w:pPr>
        <w:pStyle w:val="Normal"/>
        <w:ind w:hanging="2880" w:start="2880" w:end="0"/>
        <w:jc w:val="center"/>
        <w:rPr>
          <w:b/>
        </w:rPr>
      </w:pPr>
      <w:r>
        <w:rPr>
          <w:b/>
        </w:rPr>
        <w:t xml:space="preserve">Pricing corresponding to the Commodity Exchange Inc. (COMEX) </w:t>
      </w:r>
    </w:p>
    <w:p>
      <w:pPr>
        <w:pStyle w:val="Normal"/>
        <w:ind w:hanging="2880" w:start="2880" w:end="0"/>
        <w:jc w:val="both"/>
        <w:rPr>
          <w:b/>
        </w:rPr>
      </w:pPr>
      <w:r>
        <w:rPr>
          <w:b/>
        </w:rPr>
      </w:r>
    </w:p>
    <w:p>
      <w:pPr>
        <w:pStyle w:val="BodyTextIndent"/>
        <w:widowControl/>
        <w:ind w:start="0" w:end="0"/>
        <w:rPr/>
      </w:pPr>
      <w:r>
        <w:rPr/>
        <w:t>We have developed a “stair step approach” allowing the customer to purchase energy in various price ranges correlated to the COMEX copper settlement price.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b/>
              </w:rPr>
            </w:pPr>
            <w:r>
              <w:rPr>
                <w:b/>
              </w:rPr>
              <w:t>COMEX copper settlement price</w:t>
            </w:r>
          </w:p>
        </w:tc>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b/>
              </w:rPr>
            </w:pPr>
            <w:r>
              <w:rPr>
                <w:b/>
              </w:rPr>
              <w:t>$/MWh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.50 - .70/pound</w:t>
            </w:r>
          </w:p>
        </w:tc>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30/MWh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.71 - .90/pound</w:t>
            </w:r>
          </w:p>
        </w:tc>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40/MWh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.91 - .1.10/pound</w:t>
            </w:r>
          </w:p>
        </w:tc>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50/MWh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1.11 – 1.30/pound</w:t>
            </w:r>
          </w:p>
        </w:tc>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60/MWh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1.31 – 1.50/pound</w:t>
            </w:r>
          </w:p>
        </w:tc>
        <w:tc>
          <w:tcPr>
            <w:tcW w:w="4428" w:type="dxa"/>
            <w:tcBorders>
              <w:top w:val="single" w:sz="4" w:space="0" w:color="000000"/>
              <w:start w:val="single" w:sz="4" w:space="0" w:color="000000"/>
              <w:bottom w:val="single" w:sz="4" w:space="0" w:color="000000"/>
              <w:end w:val="single" w:sz="4" w:space="0" w:color="000000"/>
            </w:tcBorders>
          </w:tcPr>
          <w:p>
            <w:pPr>
              <w:pStyle w:val="BodyTextIndent"/>
              <w:widowControl/>
              <w:spacing w:before="0" w:after="120"/>
              <w:ind w:start="0" w:end="0"/>
              <w:jc w:val="center"/>
              <w:rPr/>
            </w:pPr>
            <w:r>
              <w:rPr/>
              <w:t>70/MWh</w:t>
            </w:r>
          </w:p>
        </w:tc>
      </w:tr>
    </w:tbl>
    <w:p>
      <w:pPr>
        <w:pStyle w:val="BodyTextIndent"/>
        <w:widowControl/>
        <w:ind w:start="0" w:end="0"/>
        <w:jc w:val="center"/>
        <w:rPr/>
      </w:pPr>
      <w:r>
        <w:rPr/>
      </w:r>
    </w:p>
    <w:p>
      <w:pPr>
        <w:pStyle w:val="Normal"/>
        <w:ind w:hanging="2880" w:start="2880" w:end="0"/>
        <w:jc w:val="both"/>
        <w:rPr>
          <w:i/>
          <w:i/>
        </w:rPr>
      </w:pPr>
      <w:r>
        <w:rPr>
          <w:i/>
        </w:rPr>
        <w:t xml:space="preserve">Participative Curtailments: </w:t>
      </w:r>
    </w:p>
    <w:p>
      <w:pPr>
        <w:pStyle w:val="Normal"/>
        <w:ind w:hanging="2880" w:start="2880" w:end="0"/>
        <w:jc w:val="both"/>
        <w:rPr>
          <w:i/>
          <w:i/>
        </w:rPr>
      </w:pPr>
      <w:r>
        <w:rPr>
          <w:i/>
        </w:rPr>
      </w:r>
    </w:p>
    <w:p>
      <w:pPr>
        <w:pStyle w:val="Normal"/>
        <w:jc w:val="both"/>
        <w:rPr/>
      </w:pPr>
      <w:r>
        <w:rPr/>
        <w:t xml:space="preserve">In a commitment to assist the customer in reducing their overall cost of energy, EPMI is willing to forego potential financial benefits by “partnering” with the customer when warranted in “off system” price arbitrage opportunities. EPMI has developed a proven strategy that at the same time is </w:t>
      </w:r>
      <w:r>
        <w:rPr>
          <w:i/>
        </w:rPr>
        <w:t>not</w:t>
      </w:r>
      <w:r>
        <w:rPr/>
        <w:t xml:space="preserve"> immune to financial risk exposure.  Enron currently holds approximately 1/3 of all the available Firm Transmission Requests (FTR) associated with the California Independent System Operator (CAISO).  Such a strategic position has allowed EPMI to routinely participate within both of the CAISO market segments; the Day Ahead (“PX”) pre-schedule market, and the Ex-Post settlement market.  Typically the Ex-Post has a higher degree of associated volatility allowing it hit the CAISO imposed financial cap of $750/MWh.  The CAISO market place may face some significant changes as the rules of participation are currently being reviewed and may be changed as early as August 1, 2000.  EPMI intents to participate after the proposed rule changes once all financial opportunities and risks have been fully assessed.  </w:t>
      </w:r>
    </w:p>
    <w:p>
      <w:pPr>
        <w:pStyle w:val="Normal"/>
        <w:jc w:val="both"/>
        <w:rPr/>
      </w:pPr>
      <w:r>
        <w:rPr/>
      </w:r>
    </w:p>
    <w:p>
      <w:pPr>
        <w:pStyle w:val="Normal"/>
        <w:jc w:val="both"/>
        <w:rPr/>
      </w:pPr>
      <w:r>
        <w:rPr/>
        <w:t>“</w:t>
      </w:r>
      <w:r>
        <w:rPr/>
        <w:t>Joint” participation within the CAISO would be subject to the following criteria:</w:t>
      </w:r>
    </w:p>
    <w:p>
      <w:pPr>
        <w:pStyle w:val="Normal"/>
        <w:jc w:val="both"/>
        <w:rPr/>
      </w:pPr>
      <w:r>
        <w:rPr/>
      </w:r>
    </w:p>
    <w:p>
      <w:pPr>
        <w:pStyle w:val="Normal"/>
        <w:numPr>
          <w:ilvl w:val="0"/>
          <w:numId w:val="2"/>
        </w:numPr>
        <w:jc w:val="both"/>
        <w:rPr/>
      </w:pPr>
      <w:r>
        <w:rPr/>
        <w:t xml:space="preserve">The customer would have to establish day-ahead MW volume and price “guidelines” for load they were willing to curtail.  </w:t>
      </w:r>
    </w:p>
    <w:p>
      <w:pPr>
        <w:pStyle w:val="Normal"/>
        <w:numPr>
          <w:ilvl w:val="0"/>
          <w:numId w:val="2"/>
        </w:numPr>
        <w:jc w:val="both"/>
        <w:rPr/>
      </w:pPr>
      <w:r>
        <w:rPr/>
        <w:t>When CAISO or alternate market conditions warranted it, EPMI would commit the designated MW volumes of load to the market thus making those commitments irrevocable to the customer.</w:t>
      </w:r>
    </w:p>
    <w:p>
      <w:pPr>
        <w:pStyle w:val="Normal"/>
        <w:numPr>
          <w:ilvl w:val="0"/>
          <w:numId w:val="2"/>
        </w:numPr>
        <w:jc w:val="both"/>
        <w:rPr/>
      </w:pPr>
      <w:r>
        <w:rPr/>
        <w:t xml:space="preserve">The customer would have the option to request either replacement offers for energy from EPMI at prevailing market prices </w:t>
      </w:r>
      <w:r>
        <w:rPr>
          <w:b/>
          <w:u w:val="single"/>
        </w:rPr>
        <w:t>or</w:t>
      </w:r>
      <w:r>
        <w:rPr/>
        <w:t xml:space="preserve"> continue operating and be subjected to MPC’s energy imbalance procedures.  </w:t>
      </w:r>
    </w:p>
    <w:p>
      <w:pPr>
        <w:pStyle w:val="Normal"/>
        <w:numPr>
          <w:ilvl w:val="0"/>
          <w:numId w:val="2"/>
        </w:numPr>
        <w:jc w:val="both"/>
        <w:rPr/>
      </w:pPr>
      <w:r>
        <w:rPr/>
        <w:t xml:space="preserve">All proceeds would be respectively distributed between EPMI and the customer on a 60/40% basis after any and all associated costs of participating (transmission, congestion charges etc.) in the alternative market have been accounted for.    </w:t>
      </w:r>
    </w:p>
    <w:p>
      <w:pPr>
        <w:pStyle w:val="Normal"/>
        <w:numPr>
          <w:ilvl w:val="0"/>
          <w:numId w:val="2"/>
        </w:numPr>
        <w:jc w:val="both"/>
        <w:rPr/>
      </w:pPr>
      <w:r>
        <w:rPr/>
        <w:t xml:space="preserve">The customer would retain their existing intra-system Network transmission agreement with MPC. </w:t>
      </w:r>
    </w:p>
    <w:p>
      <w:pPr>
        <w:pStyle w:val="Normal"/>
        <w:numPr>
          <w:ilvl w:val="0"/>
          <w:numId w:val="2"/>
        </w:numPr>
        <w:jc w:val="both"/>
        <w:rPr/>
      </w:pPr>
      <w:r>
        <w:rPr/>
        <w:t xml:space="preserve">EPMI would be responsible for making alternate transmission arrangements for any “off system” sales, the costs of which would be deducted from all potential proceeds. </w:t>
      </w:r>
    </w:p>
    <w:p>
      <w:pPr>
        <w:pStyle w:val="Normal"/>
        <w:numPr>
          <w:ilvl w:val="0"/>
          <w:numId w:val="2"/>
        </w:numPr>
        <w:jc w:val="both"/>
        <w:rPr/>
      </w:pPr>
      <w:r>
        <w:rPr/>
        <w:t>On a monthly basis all proceeds would be netted against monies owed to EPMI.</w:t>
      </w:r>
    </w:p>
    <w:p>
      <w:pPr>
        <w:pStyle w:val="Normal"/>
        <w:numPr>
          <w:ilvl w:val="0"/>
          <w:numId w:val="2"/>
        </w:numPr>
        <w:jc w:val="both"/>
        <w:rPr/>
      </w:pPr>
      <w:r>
        <w:rPr/>
        <w:t>In the case of an “off system sale” resulting in a financial loss, such losses would be applied against any accrued profits.</w:t>
      </w:r>
    </w:p>
    <w:p>
      <w:pPr>
        <w:pStyle w:val="Normal"/>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Heading9"/>
        <w:rPr/>
      </w:pPr>
      <w:r>
        <w:rPr/>
        <w:t>CONTACT PERSON</w:t>
      </w:r>
    </w:p>
    <w:p>
      <w:pPr>
        <w:pStyle w:val="Normal"/>
        <w:widowControl/>
        <w:ind w:hanging="180" w:start="180" w:end="0"/>
        <w:rPr/>
      </w:pPr>
      <w:r>
        <w:rPr/>
      </w:r>
    </w:p>
    <w:p>
      <w:pPr>
        <w:pStyle w:val="Normal"/>
        <w:widowControl/>
        <w:rPr/>
      </w:pPr>
      <w:r>
        <w:rPr/>
        <w:t>All questions or comments regarding this proposal should be addressed to:</w:t>
      </w:r>
    </w:p>
    <w:p>
      <w:pPr>
        <w:pStyle w:val="Normal"/>
        <w:widowControl/>
        <w:rPr/>
      </w:pPr>
      <w:r>
        <w:rPr/>
      </w:r>
    </w:p>
    <w:p>
      <w:pPr>
        <w:pStyle w:val="Normal"/>
        <w:widowControl/>
        <w:rPr/>
      </w:pPr>
      <w:r>
        <w:rPr/>
        <w:t>John D. Malowney</w:t>
      </w:r>
    </w:p>
    <w:p>
      <w:pPr>
        <w:pStyle w:val="Normal"/>
        <w:widowControl/>
        <w:rPr/>
      </w:pPr>
      <w:r>
        <w:rPr/>
        <w:t>Manager</w:t>
      </w:r>
    </w:p>
    <w:p>
      <w:pPr>
        <w:pStyle w:val="Normal"/>
        <w:widowControl/>
        <w:rPr/>
      </w:pPr>
      <w:r>
        <w:rPr/>
        <w:t>Enron North America</w:t>
      </w:r>
    </w:p>
    <w:p>
      <w:pPr>
        <w:pStyle w:val="Normal"/>
        <w:widowControl/>
        <w:rPr/>
      </w:pPr>
      <w:r>
        <w:rPr/>
        <w:t>3 World Trade Center</w:t>
      </w:r>
    </w:p>
    <w:p>
      <w:pPr>
        <w:pStyle w:val="Normal"/>
        <w:widowControl/>
        <w:rPr/>
      </w:pPr>
      <w:r>
        <w:rPr/>
        <w:t>121 SW Salmon, Suite 0305</w:t>
      </w:r>
    </w:p>
    <w:p>
      <w:pPr>
        <w:pStyle w:val="Normal"/>
        <w:widowControl/>
        <w:rPr/>
      </w:pPr>
      <w:r>
        <w:rPr/>
        <w:t>Portland, OR  97204</w:t>
      </w:r>
    </w:p>
    <w:p>
      <w:pPr>
        <w:pStyle w:val="Normal"/>
        <w:widowControl/>
        <w:rPr/>
      </w:pPr>
      <w:r>
        <w:rPr/>
        <w:t>Phone: (503) 464-2270</w:t>
      </w:r>
    </w:p>
    <w:p>
      <w:pPr>
        <w:pStyle w:val="Normal"/>
        <w:widowControl/>
        <w:rPr/>
      </w:pPr>
      <w:r>
        <w:rPr/>
        <w:t>Fax: (503) 464-3740</w:t>
      </w:r>
    </w:p>
    <w:p>
      <w:pPr>
        <w:pStyle w:val="Normal"/>
        <w:widowControl/>
        <w:rPr/>
      </w:pPr>
      <w:r>
        <w:rPr/>
        <w:t xml:space="preserve">E-mail: </w:t>
      </w:r>
      <w:hyperlink r:id="rId2">
        <w:r>
          <w:rPr>
            <w:rStyle w:val="Hyperlink"/>
          </w:rPr>
          <w:t>john.malowney@enron.com</w:t>
        </w:r>
      </w:hyperlink>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ind w:hanging="180" w:start="180" w:end="0"/>
        <w:rPr>
          <w:b/>
          <w:i/>
          <w:i/>
          <w:u w:val="single"/>
        </w:rPr>
      </w:pPr>
      <w:r>
        <w:rPr>
          <w:b/>
          <w:i/>
          <w:u w:val="single"/>
        </w:rPr>
        <w:t>ELECTRICAL ENERGY PRICING</w:t>
      </w:r>
    </w:p>
    <w:p>
      <w:pPr>
        <w:pStyle w:val="Normal"/>
        <w:widowControl/>
        <w:ind w:hanging="180" w:start="180" w:end="0"/>
        <w:rPr>
          <w:b/>
          <w:i/>
          <w:i/>
          <w:u w:val="single"/>
        </w:rPr>
      </w:pPr>
      <w:r>
        <w:rPr>
          <w:b/>
          <w:i/>
          <w:u w:val="single"/>
        </w:rPr>
      </w:r>
    </w:p>
    <w:p>
      <w:pPr>
        <w:pStyle w:val="Normal"/>
        <w:widowControl/>
        <w:jc w:val="both"/>
        <w:rPr/>
      </w:pPr>
      <w:r>
        <w:rPr/>
        <w:t xml:space="preserve">The aforementioned pricing would be effective upon a specific date and would be subject to decreases or increases as market conditions change up to the date of execution of a contract between Energy West and Enron. </w:t>
      </w:r>
    </w:p>
    <w:p>
      <w:pPr>
        <w:pStyle w:val="Normal"/>
        <w:widowControl/>
        <w:ind w:hanging="2160" w:start="2160" w:end="0"/>
        <w:jc w:val="both"/>
        <w:rPr>
          <w:b/>
          <w:i/>
          <w:i/>
          <w:u w:val="single"/>
        </w:rPr>
      </w:pPr>
      <w:r>
        <w:rPr>
          <w:b/>
          <w:i/>
          <w:u w:val="single"/>
        </w:rPr>
      </w:r>
    </w:p>
    <w:p>
      <w:pPr>
        <w:pStyle w:val="Normal"/>
        <w:widowControl/>
        <w:ind w:hanging="2160" w:start="2160" w:end="0"/>
        <w:jc w:val="both"/>
        <w:rPr>
          <w:b/>
          <w:i/>
          <w:i/>
          <w:u w:val="single"/>
        </w:rPr>
      </w:pPr>
      <w:r>
        <w:rPr>
          <w:b/>
          <w:i/>
          <w:u w:val="single"/>
        </w:rPr>
        <w:t xml:space="preserve"> </w:t>
      </w:r>
      <w:r>
        <w:rPr>
          <w:b/>
          <w:i/>
          <w:u w:val="single"/>
        </w:rPr>
        <w:t>CONFIDENTIALITY</w:t>
      </w:r>
    </w:p>
    <w:p>
      <w:pPr>
        <w:pStyle w:val="Normal"/>
        <w:widowControl/>
        <w:jc w:val="both"/>
        <w:rPr>
          <w:b/>
          <w:i/>
          <w:i/>
          <w:u w:val="single"/>
        </w:rPr>
      </w:pPr>
      <w:r>
        <w:rPr>
          <w:b/>
          <w:i/>
          <w:u w:val="single"/>
        </w:rPr>
      </w:r>
    </w:p>
    <w:p>
      <w:pPr>
        <w:pStyle w:val="Normal"/>
        <w:widowControl/>
        <w:jc w:val="both"/>
        <w:rPr/>
      </w:pPr>
      <w:r>
        <w:rPr/>
        <w:t>All terms and conditions of this Term Sheet are confidential between Enron and Energy West and their duly appointed agents and are not to be disclosed to any third party other than affiliates of Enron and Energy West.</w:t>
      </w:r>
    </w:p>
    <w:p>
      <w:pPr>
        <w:pStyle w:val="Normal"/>
        <w:widowControl/>
        <w:ind w:hanging="2160" w:start="2160" w:end="0"/>
        <w:jc w:val="both"/>
        <w:rPr/>
      </w:pPr>
      <w:r>
        <w:rPr/>
      </w:r>
    </w:p>
    <w:p>
      <w:pPr>
        <w:pStyle w:val="Normal"/>
        <w:widowControl/>
        <w:jc w:val="both"/>
        <w:rPr>
          <w:b/>
          <w:i/>
          <w:i/>
        </w:rPr>
      </w:pPr>
      <w:r>
        <w:rPr>
          <w:b/>
          <w:i/>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Enron or Energy West or any parent or affiliate of either.  The transaction described above is subject to further review and approval of the board of directors of Enron and the execution of the definitive agreement containing all appropriate provisions, including, but not limited to, those relating to credit and limitation of damages and remedies and force majeure.</w:t>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6" w:space="1" w:color="000000"/>
      </w:pBdr>
      <w:jc w:val="center"/>
      <w:rPr>
        <w:b/>
        <w:i/>
        <w:i/>
      </w:rPr>
    </w:pPr>
    <w:r>
      <w:rPr>
        <w:b/>
        <w:i/>
      </w:rPr>
      <w:t>Confidential - For Discussion Purposes Only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bottom w:val="single" w:sz="6" w:space="1" w:color="000000"/>
      </w:pBdr>
      <w:jc w:val="end"/>
      <w:rPr>
        <w:b/>
        <w:i/>
        <w:i/>
      </w:rPr>
    </w:pPr>
    <w:r>
      <w:rPr>
        <w:b/>
        <w:i/>
      </w:rPr>
      <w:t>ENRON POWER MARKETING, INC.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b/>
      <w:i/>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b/>
      <w:i/>
    </w:rPr>
  </w:style>
  <w:style w:type="paragraph" w:styleId="Heading5">
    <w:name w:val="heading 5"/>
    <w:basedOn w:val="Normal"/>
    <w:next w:val="Normal"/>
    <w:qFormat/>
    <w:pPr>
      <w:keepNext w:val="true"/>
      <w:widowControl/>
      <w:numPr>
        <w:ilvl w:val="4"/>
        <w:numId w:val="1"/>
      </w:numPr>
      <w:outlineLvl w:val="4"/>
    </w:pPr>
    <w:rPr>
      <w:i/>
      <w:u w:val="single"/>
    </w:rPr>
  </w:style>
  <w:style w:type="paragraph" w:styleId="Heading6">
    <w:name w:val="heading 6"/>
    <w:basedOn w:val="Normal"/>
    <w:next w:val="Normal"/>
    <w:qFormat/>
    <w:pPr>
      <w:keepNext w:val="true"/>
      <w:numPr>
        <w:ilvl w:val="5"/>
        <w:numId w:val="1"/>
      </w:numPr>
      <w:ind w:hanging="0" w:start="1440" w:end="0"/>
      <w:jc w:val="both"/>
      <w:outlineLvl w:val="5"/>
    </w:pPr>
    <w:rPr>
      <w:b/>
      <w:i/>
      <w:sz w:val="22"/>
      <w:u w:val="single"/>
    </w:rPr>
  </w:style>
  <w:style w:type="paragraph" w:styleId="Heading7">
    <w:name w:val="heading 7"/>
    <w:basedOn w:val="Normal"/>
    <w:next w:val="Normal"/>
    <w:qFormat/>
    <w:pPr>
      <w:keepNext w:val="true"/>
      <w:numPr>
        <w:ilvl w:val="6"/>
        <w:numId w:val="1"/>
      </w:numPr>
      <w:ind w:hanging="720" w:start="720" w:end="0"/>
      <w:jc w:val="center"/>
      <w:outlineLvl w:val="6"/>
    </w:pPr>
    <w:rPr>
      <w:b/>
    </w:rPr>
  </w:style>
  <w:style w:type="paragraph" w:styleId="Heading8">
    <w:name w:val="heading 8"/>
    <w:basedOn w:val="Normal"/>
    <w:next w:val="Normal"/>
    <w:qFormat/>
    <w:pPr>
      <w:keepNext w:val="true"/>
      <w:numPr>
        <w:ilvl w:val="7"/>
        <w:numId w:val="1"/>
      </w:numPr>
      <w:ind w:hanging="720" w:start="720" w:end="0"/>
      <w:outlineLvl w:val="7"/>
    </w:pPr>
    <w:rPr>
      <w:u w:val="single"/>
    </w:rPr>
  </w:style>
  <w:style w:type="paragraph" w:styleId="Heading9">
    <w:name w:val="heading 9"/>
    <w:basedOn w:val="Normal"/>
    <w:next w:val="Normal"/>
    <w:qFormat/>
    <w:pPr>
      <w:keepNext w:val="true"/>
      <w:widowControl/>
      <w:numPr>
        <w:ilvl w:val="8"/>
        <w:numId w:val="1"/>
      </w:numPr>
      <w:ind w:hanging="180" w:start="180" w:end="0"/>
      <w:outlineLvl w:val="8"/>
    </w:pPr>
    <w:rPr>
      <w:b/>
      <w:i/>
      <w:u w:val="single"/>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z w:val="20"/>
    </w:rPr>
  </w:style>
  <w:style w:type="paragraph" w:styleId="BodyText2">
    <w:name w:val="Body Text 2"/>
    <w:basedOn w:val="Normal"/>
    <w:qFormat/>
    <w:pPr>
      <w:jc w:val="both"/>
    </w:pPr>
    <w:rPr>
      <w:b/>
      <w:sz w:val="22"/>
    </w:rPr>
  </w:style>
  <w:style w:type="paragraph" w:styleId="NormalIndent">
    <w:name w:val="Normal Indent"/>
    <w:basedOn w:val="Normal"/>
    <w:qFormat/>
    <w:pPr>
      <w:ind w:hanging="0" w:start="720" w:end="0"/>
    </w:pPr>
    <w:rPr/>
  </w:style>
  <w:style w:type="paragraph" w:styleId="BodyTextIndent2">
    <w:name w:val="Body Text Indent 2"/>
    <w:basedOn w:val="Normal"/>
    <w:qFormat/>
    <w:pPr>
      <w:ind w:hanging="2160" w:start="2160" w:end="0"/>
    </w:pPr>
    <w:rPr>
      <w:sz w:val="22"/>
    </w:rPr>
  </w:style>
  <w:style w:type="paragraph" w:styleId="BodyTextIndent3">
    <w:name w:val="Body Text Indent 3"/>
    <w:basedOn w:val="Normal"/>
    <w:qFormat/>
    <w:pPr>
      <w:ind w:hanging="0" w:start="180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malowney@enro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2000-05-10T18:00:00Z</dcterms:created>
  <dc:creator>John Malowney</dc:creator>
  <dc:description/>
  <dc:language>en-CA</dc:language>
  <cp:lastModifiedBy>jmalown</cp:lastModifiedBy>
  <cp:lastPrinted>2000-05-25T19:09:00Z</cp:lastPrinted>
  <dcterms:modified xsi:type="dcterms:W3CDTF">2000-05-25T21:54:00Z</dcterms:modified>
  <cp:revision>5</cp:revision>
  <dc:subject/>
  <dc:title>PROPOSED TERMS FOR</dc:title>
</cp:coreProperties>
</file>