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REGIONAL OFFICE REVIEW PROCESS –  RISK MANAGEMENT</w:t>
      </w:r>
    </w:p>
    <w:p>
      <w:pPr>
        <w:pStyle w:val="Normal"/>
        <w:rPr/>
      </w:pPr>
      <w:r>
        <w:rPr/>
      </w:r>
    </w:p>
    <w:p>
      <w:pPr>
        <w:pStyle w:val="Normal"/>
        <w:rPr/>
      </w:pPr>
      <w:r>
        <w:rPr/>
      </w:r>
    </w:p>
    <w:p>
      <w:pPr>
        <w:pStyle w:val="Normal"/>
        <w:rPr/>
      </w:pPr>
      <w:r>
        <w:rPr/>
      </w:r>
    </w:p>
    <w:p>
      <w:pPr>
        <w:pStyle w:val="Normal"/>
        <w:numPr>
          <w:ilvl w:val="0"/>
          <w:numId w:val="2"/>
        </w:numPr>
        <w:rPr/>
      </w:pPr>
      <w:r>
        <w:rPr/>
        <w:t>Regional Support co-ordination team regularly visit and review each office on an informal basis.  Where office size and activity dictates, a local Regional Support co-ordinator is appointed.  The Regional support co-ordination team will report monthly to middle office management concerning activity in all remote offices.</w:t>
      </w:r>
    </w:p>
    <w:p>
      <w:pPr>
        <w:pStyle w:val="Normal"/>
        <w:rPr/>
      </w:pPr>
      <w:r>
        <w:rPr/>
      </w:r>
    </w:p>
    <w:p>
      <w:pPr>
        <w:pStyle w:val="Normal"/>
        <w:numPr>
          <w:ilvl w:val="0"/>
          <w:numId w:val="2"/>
        </w:numPr>
        <w:rPr/>
      </w:pPr>
      <w:r>
        <w:rPr/>
        <w:t>Remote offices will be given a ranking to denote level of trading/origination activity.  These rankings will be reviewed at least quarterly (although any major change will be notified immediately).  The level of middle office review and follow up required will depend upon that ranking and will be initially as follows;</w:t>
      </w:r>
    </w:p>
    <w:p>
      <w:pPr>
        <w:pStyle w:val="Normal"/>
        <w:rPr/>
      </w:pPr>
      <w:r>
        <w:rPr/>
      </w:r>
    </w:p>
    <w:tbl>
      <w:tblPr>
        <w:tblW w:w="13362" w:type="dxa"/>
        <w:jc w:val="start"/>
        <w:tblInd w:w="426" w:type="dxa"/>
        <w:tblLayout w:type="fixed"/>
        <w:tblCellMar>
          <w:top w:w="0" w:type="dxa"/>
          <w:start w:w="108" w:type="dxa"/>
          <w:bottom w:w="0" w:type="dxa"/>
          <w:end w:w="108" w:type="dxa"/>
        </w:tblCellMar>
      </w:tblPr>
      <w:tblGrid>
        <w:gridCol w:w="959"/>
        <w:gridCol w:w="1973"/>
        <w:gridCol w:w="5120"/>
        <w:gridCol w:w="2790"/>
        <w:gridCol w:w="2520"/>
      </w:tblGrid>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rPr>
            </w:pPr>
            <w:r>
              <w:rPr>
                <w:b/>
              </w:rPr>
              <w:t>Ranking</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rPr>
            </w:pPr>
            <w:r>
              <w:rPr>
                <w:b/>
              </w:rPr>
              <w:t>Office Status</w:t>
            </w:r>
          </w:p>
        </w:tc>
        <w:tc>
          <w:tcPr>
            <w:tcW w:w="51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rPr>
            </w:pPr>
            <w:r>
              <w:rPr>
                <w:b/>
              </w:rPr>
              <w:t>Controls &amp; Review Procedures</w:t>
            </w:r>
          </w:p>
          <w:p>
            <w:pPr>
              <w:pStyle w:val="Normal"/>
              <w:tabs>
                <w:tab w:val="clear" w:pos="720"/>
                <w:tab w:val="center" w:pos="426" w:leader="none"/>
              </w:tabs>
              <w:rPr>
                <w:b/>
              </w:rPr>
            </w:pPr>
            <w:r>
              <w:rPr>
                <w:b/>
              </w:rPr>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rPr>
            </w:pPr>
            <w:r>
              <w:rPr>
                <w:b/>
              </w:rPr>
              <w:t>Power &amp; Gas</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rPr>
            </w:pPr>
            <w:r>
              <w:rPr>
                <w:b/>
              </w:rPr>
              <w:t>Metals</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1</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Trading Office</w:t>
            </w:r>
          </w:p>
        </w:tc>
        <w:tc>
          <w:tcPr>
            <w:tcW w:w="5120" w:type="dxa"/>
            <w:tcBorders>
              <w:top w:val="single" w:sz="4" w:space="0" w:color="000000"/>
              <w:start w:val="single" w:sz="4" w:space="0" w:color="000000"/>
              <w:bottom w:val="single" w:sz="4" w:space="0" w:color="000000"/>
              <w:end w:val="single" w:sz="4" w:space="0" w:color="000000"/>
            </w:tcBorders>
          </w:tcPr>
          <w:p>
            <w:pPr>
              <w:pStyle w:val="Normal"/>
              <w:numPr>
                <w:ilvl w:val="0"/>
                <w:numId w:val="5"/>
              </w:numPr>
              <w:tabs>
                <w:tab w:val="clear" w:pos="720"/>
                <w:tab w:val="center" w:pos="426" w:leader="none"/>
              </w:tabs>
              <w:rPr/>
            </w:pPr>
            <w:r>
              <w:rPr/>
              <w:t xml:space="preserve">Full Middle Office structure in place locally reporting directly to London Risk Management.  </w:t>
            </w:r>
          </w:p>
          <w:p>
            <w:pPr>
              <w:pStyle w:val="Normal"/>
              <w:numPr>
                <w:ilvl w:val="0"/>
                <w:numId w:val="5"/>
              </w:numPr>
              <w:tabs>
                <w:tab w:val="clear" w:pos="720"/>
                <w:tab w:val="center" w:pos="426" w:leader="none"/>
              </w:tabs>
              <w:rPr/>
            </w:pPr>
            <w:r>
              <w:rPr/>
              <w:t>Quarterly visits by Central Risk management.</w:t>
            </w:r>
          </w:p>
          <w:p>
            <w:pPr>
              <w:pStyle w:val="Normal"/>
              <w:numPr>
                <w:ilvl w:val="0"/>
                <w:numId w:val="5"/>
              </w:numPr>
              <w:tabs>
                <w:tab w:val="clear" w:pos="720"/>
                <w:tab w:val="center" w:pos="426" w:leader="none"/>
              </w:tabs>
              <w:rPr/>
            </w:pPr>
            <w:r>
              <w:rPr/>
              <w:t>Doorstep review</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 xml:space="preserve">Oslo, Sydney, Tokyo  </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Essen/Hamburg (recycling), New York</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2</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Agency Office</w:t>
            </w:r>
          </w:p>
        </w:tc>
        <w:tc>
          <w:tcPr>
            <w:tcW w:w="512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center" w:pos="426" w:leader="none"/>
              </w:tabs>
              <w:rPr/>
            </w:pPr>
            <w:r>
              <w:rPr/>
              <w:t>Local originators agree deals within trading limits provided daily by traders in the central trading office</w:t>
            </w:r>
          </w:p>
          <w:p>
            <w:pPr>
              <w:pStyle w:val="Normal"/>
              <w:numPr>
                <w:ilvl w:val="0"/>
                <w:numId w:val="4"/>
              </w:numPr>
              <w:tabs>
                <w:tab w:val="clear" w:pos="720"/>
                <w:tab w:val="center" w:pos="426" w:leader="none"/>
              </w:tabs>
              <w:rPr/>
            </w:pPr>
            <w:r>
              <w:rPr/>
              <w:t>Some local logistics</w:t>
            </w:r>
          </w:p>
          <w:p>
            <w:pPr>
              <w:pStyle w:val="Normal"/>
              <w:numPr>
                <w:ilvl w:val="0"/>
                <w:numId w:val="4"/>
              </w:numPr>
              <w:tabs>
                <w:tab w:val="clear" w:pos="720"/>
                <w:tab w:val="center" w:pos="426" w:leader="none"/>
              </w:tabs>
              <w:rPr/>
            </w:pPr>
            <w:r>
              <w:rPr/>
              <w:t>All confirmations from central trading office</w:t>
            </w:r>
          </w:p>
          <w:p>
            <w:pPr>
              <w:pStyle w:val="Normal"/>
              <w:numPr>
                <w:ilvl w:val="0"/>
                <w:numId w:val="4"/>
              </w:numPr>
              <w:tabs>
                <w:tab w:val="clear" w:pos="720"/>
                <w:tab w:val="center" w:pos="426" w:leader="none"/>
              </w:tabs>
              <w:rPr/>
            </w:pPr>
            <w:r>
              <w:rPr/>
              <w:t>Quarterly visits by London Risk Management or Regional Support Team</w:t>
            </w:r>
          </w:p>
          <w:p>
            <w:pPr>
              <w:pStyle w:val="Normal"/>
              <w:numPr>
                <w:ilvl w:val="0"/>
                <w:numId w:val="4"/>
              </w:numPr>
              <w:tabs>
                <w:tab w:val="clear" w:pos="720"/>
                <w:tab w:val="center" w:pos="426" w:leader="none"/>
              </w:tabs>
              <w:rPr/>
            </w:pPr>
            <w:r>
              <w:rPr/>
              <w:t>Doorstep review</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pPr>
            <w:r>
              <w:rPr/>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Frankfurt/Nurenburg (recycling), Tokyo, Chicago, St Louis, Montreal, Shanghai, Sidney, Seoul, Hamburg (RW)</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3</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High level of origination deals leading to central trading</w:t>
            </w:r>
          </w:p>
        </w:tc>
        <w:tc>
          <w:tcPr>
            <w:tcW w:w="5120" w:type="dxa"/>
            <w:tcBorders>
              <w:top w:val="single" w:sz="4" w:space="0" w:color="000000"/>
              <w:start w:val="single" w:sz="4" w:space="0" w:color="000000"/>
              <w:bottom w:val="single" w:sz="4" w:space="0" w:color="000000"/>
              <w:end w:val="single" w:sz="4" w:space="0" w:color="000000"/>
            </w:tcBorders>
          </w:tcPr>
          <w:p>
            <w:pPr>
              <w:pStyle w:val="Normal"/>
              <w:numPr>
                <w:ilvl w:val="0"/>
                <w:numId w:val="4"/>
              </w:numPr>
              <w:tabs>
                <w:tab w:val="clear" w:pos="720"/>
                <w:tab w:val="center" w:pos="426" w:leader="none"/>
              </w:tabs>
              <w:rPr/>
            </w:pPr>
            <w:r>
              <w:rPr/>
              <w:t xml:space="preserve">Local controller monitors and reports monthly to risk management on all origination deals.  </w:t>
            </w:r>
          </w:p>
          <w:p>
            <w:pPr>
              <w:pStyle w:val="Normal"/>
              <w:numPr>
                <w:ilvl w:val="0"/>
                <w:numId w:val="4"/>
              </w:numPr>
              <w:tabs>
                <w:tab w:val="clear" w:pos="720"/>
                <w:tab w:val="center" w:pos="426" w:leader="none"/>
              </w:tabs>
              <w:rPr/>
            </w:pPr>
            <w:r>
              <w:rPr/>
              <w:t>All deals are subject to CACS approval.</w:t>
            </w:r>
          </w:p>
          <w:p>
            <w:pPr>
              <w:pStyle w:val="Normal"/>
              <w:numPr>
                <w:ilvl w:val="0"/>
                <w:numId w:val="4"/>
              </w:numPr>
              <w:tabs>
                <w:tab w:val="clear" w:pos="720"/>
                <w:tab w:val="center" w:pos="426" w:leader="none"/>
              </w:tabs>
              <w:rPr/>
            </w:pPr>
            <w:r>
              <w:rPr/>
              <w:t>Six monthly visits by London Risk Management or Regional Support Team</w:t>
            </w:r>
          </w:p>
          <w:p>
            <w:pPr>
              <w:pStyle w:val="Normal"/>
              <w:numPr>
                <w:ilvl w:val="0"/>
                <w:numId w:val="4"/>
              </w:numPr>
              <w:tabs>
                <w:tab w:val="clear" w:pos="720"/>
                <w:tab w:val="center" w:pos="426" w:leader="none"/>
              </w:tabs>
              <w:rPr/>
            </w:pPr>
            <w:r>
              <w:rPr/>
              <w:t>Doorstep review</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Frankfurt, Madrid, Zurich</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Santiago, Lima, Singapore</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4</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Some origination deals in process</w:t>
            </w:r>
          </w:p>
        </w:tc>
        <w:tc>
          <w:tcPr>
            <w:tcW w:w="512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center" w:pos="426" w:leader="none"/>
              </w:tabs>
              <w:rPr/>
            </w:pPr>
            <w:r>
              <w:rPr/>
              <w:t>Local support co-ordinator/Regional support team to report on any change in status</w:t>
            </w:r>
          </w:p>
          <w:p>
            <w:pPr>
              <w:pStyle w:val="Normal"/>
              <w:numPr>
                <w:ilvl w:val="0"/>
                <w:numId w:val="3"/>
              </w:numPr>
              <w:tabs>
                <w:tab w:val="clear" w:pos="720"/>
                <w:tab w:val="center" w:pos="426" w:leader="none"/>
              </w:tabs>
              <w:rPr/>
            </w:pPr>
            <w:r>
              <w:rPr/>
              <w:t>All deals are subject to CACS approval.</w:t>
            </w:r>
          </w:p>
          <w:p>
            <w:pPr>
              <w:pStyle w:val="Normal"/>
              <w:numPr>
                <w:ilvl w:val="0"/>
                <w:numId w:val="3"/>
              </w:numPr>
              <w:tabs>
                <w:tab w:val="clear" w:pos="720"/>
                <w:tab w:val="center" w:pos="426" w:leader="none"/>
              </w:tabs>
              <w:rPr/>
            </w:pPr>
            <w:r>
              <w:rPr/>
              <w:t>Risk management monitoring through monthly updates by Remote office team</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Warsaw, Bucharest, Milan, Amsterdam, Stockholm</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Rio, Stockholm, Cologne (moving to Essen), Madrid, Moscow, Beijing, Hong Kong, Johannesburg</w:t>
            </w:r>
          </w:p>
        </w:tc>
      </w:tr>
      <w:tr>
        <w:trPr/>
        <w:tc>
          <w:tcPr>
            <w:tcW w:w="959"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5</w:t>
            </w:r>
          </w:p>
        </w:tc>
        <w:tc>
          <w:tcPr>
            <w:tcW w:w="1973"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No link to or origination of trading</w:t>
            </w:r>
          </w:p>
        </w:tc>
        <w:tc>
          <w:tcPr>
            <w:tcW w:w="5120" w:type="dxa"/>
            <w:tcBorders>
              <w:top w:val="single" w:sz="4" w:space="0" w:color="000000"/>
              <w:start w:val="single" w:sz="4" w:space="0" w:color="000000"/>
              <w:bottom w:val="single" w:sz="4" w:space="0" w:color="000000"/>
              <w:end w:val="single" w:sz="4" w:space="0" w:color="000000"/>
            </w:tcBorders>
          </w:tcPr>
          <w:p>
            <w:pPr>
              <w:pStyle w:val="Normal"/>
              <w:numPr>
                <w:ilvl w:val="0"/>
                <w:numId w:val="6"/>
              </w:numPr>
              <w:tabs>
                <w:tab w:val="clear" w:pos="720"/>
                <w:tab w:val="center" w:pos="426" w:leader="none"/>
              </w:tabs>
              <w:rPr/>
            </w:pPr>
            <w:r>
              <w:rPr/>
              <w:t>No risk management review process until change of status notified by Remote office team.</w:t>
            </w:r>
          </w:p>
        </w:tc>
        <w:tc>
          <w:tcPr>
            <w:tcW w:w="279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Brussels,  Moscow, Lugano,  Budapest, Helsinki</w:t>
            </w:r>
          </w:p>
        </w:tc>
        <w:tc>
          <w:tcPr>
            <w:tcW w:w="252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pPr>
            <w:r>
              <w:rPr/>
              <w:t>Henry Bath locations</w:t>
            </w:r>
          </w:p>
        </w:tc>
      </w:tr>
    </w:tbl>
    <w:p>
      <w:pPr>
        <w:pStyle w:val="Normal"/>
        <w:tabs>
          <w:tab w:val="clear" w:pos="720"/>
          <w:tab w:val="center" w:pos="426" w:leader="none"/>
        </w:tabs>
        <w:rPr/>
      </w:pPr>
      <w:r>
        <w:rPr/>
      </w:r>
    </w:p>
    <w:p>
      <w:pPr>
        <w:pStyle w:val="Normal"/>
        <w:numPr>
          <w:ilvl w:val="0"/>
          <w:numId w:val="2"/>
        </w:numPr>
        <w:tabs>
          <w:tab w:val="clear" w:pos="720"/>
          <w:tab w:val="center" w:pos="426" w:leader="none"/>
        </w:tabs>
        <w:rPr/>
      </w:pPr>
      <w:r>
        <w:rPr/>
        <w:t>The list of main contacts (found on the European Offices Web site) are to be updated quarterly and as changes occur.  For any general enquiry, please contact Naomi Connell.  Current teams are as follows:</w:t>
        <w:br/>
      </w:r>
    </w:p>
    <w:tbl>
      <w:tblPr>
        <w:tblW w:w="12282" w:type="dxa"/>
        <w:jc w:val="start"/>
        <w:tblInd w:w="426" w:type="dxa"/>
        <w:tblLayout w:type="fixed"/>
        <w:tblCellMar>
          <w:top w:w="0" w:type="dxa"/>
          <w:start w:w="108" w:type="dxa"/>
          <w:bottom w:w="0" w:type="dxa"/>
          <w:end w:w="108" w:type="dxa"/>
        </w:tblCellMar>
      </w:tblPr>
      <w:tblGrid>
        <w:gridCol w:w="2202"/>
        <w:gridCol w:w="2430"/>
        <w:gridCol w:w="2430"/>
        <w:gridCol w:w="2610"/>
        <w:gridCol w:w="2610"/>
      </w:tblGrid>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sz w:val="18"/>
              </w:rPr>
            </w:pPr>
            <w:r>
              <w:rPr>
                <w:b/>
                <w:sz w:val="18"/>
              </w:rPr>
              <w:t>Office</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sz w:val="18"/>
              </w:rPr>
            </w:pPr>
            <w:r>
              <w:rPr>
                <w:b/>
                <w:sz w:val="18"/>
              </w:rPr>
              <w:t>Local Risk management &amp; overall controller</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sz w:val="18"/>
              </w:rPr>
            </w:pPr>
            <w:r>
              <w:rPr>
                <w:b/>
                <w:sz w:val="18"/>
              </w:rPr>
              <w:t>Local Co-ordinator/controller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sz w:val="18"/>
              </w:rPr>
            </w:pPr>
            <w:r>
              <w:rPr>
                <w:b/>
                <w:sz w:val="18"/>
              </w:rPr>
              <w:t xml:space="preserve">Regional Support                        Co-ordinator </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b/>
                <w:sz w:val="18"/>
              </w:rPr>
            </w:pPr>
            <w:r>
              <w:rPr>
                <w:b/>
                <w:sz w:val="18"/>
              </w:rPr>
              <w:t>London Risk Management</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Oslo</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Orjan Agdesteen</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Tokyo</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Jan-Erland Bekeng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Sidney</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Heidi Mason</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NY</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Marcelo Parra</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Hamburg (recycling)</w:t>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TBD</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Frankfurt</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Zurich</w:t>
            </w:r>
          </w:p>
        </w:tc>
        <w:tc>
          <w:tcPr>
            <w:tcW w:w="2430" w:type="dxa"/>
            <w:tcBorders>
              <w:top w:val="single" w:sz="4" w:space="0" w:color="000000"/>
              <w:start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Hamburg (RW)</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Frankfurt (recycling)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TBD</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Essen (recycling)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TBD</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Nurenburg (recycling)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TBD</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Ralph Jaeger</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Amsterdam</w:t>
            </w:r>
          </w:p>
        </w:tc>
        <w:tc>
          <w:tcPr>
            <w:tcW w:w="243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Madrid</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Paulino Martinez</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Anthony Key</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Milan</w:t>
            </w:r>
          </w:p>
        </w:tc>
        <w:tc>
          <w:tcPr>
            <w:tcW w:w="243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Moscow</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Anna Rafalska</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Warsaw</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Anna Rafalska</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Bucharest</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Bogdan Diaconu</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Yeo</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Helsinki</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Matthew Landy</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Stockholm</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Matthew Landy</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James New</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Johannesburg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Chicago</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Marcelo Parra</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 Louis</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Marcelo Parra</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Montreal</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Marcelo Parra</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Naomi Connell</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Rio</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Santiago</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Lima</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snapToGrid w:val="false"/>
              <w:rPr>
                <w:sz w:val="18"/>
              </w:rPr>
            </w:pPr>
            <w:r>
              <w:rPr>
                <w:sz w:val="18"/>
              </w:rPr>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Stephane Hue</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Shanghai</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Tiong Hock Lim</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Beijing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Tiong Hock Lim</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Hong Kong</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Tiong Hock Lim</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Seoul</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Tiong Hock Lim</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r>
        <w:trPr/>
        <w:tc>
          <w:tcPr>
            <w:tcW w:w="2202"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 xml:space="preserve">Singapore </w:t>
            </w:r>
          </w:p>
        </w:tc>
        <w:tc>
          <w:tcPr>
            <w:tcW w:w="2430" w:type="dxa"/>
            <w:tcBorders>
              <w:top w:val="single" w:sz="4" w:space="0" w:color="000000"/>
              <w:start w:val="single" w:sz="4" w:space="0" w:color="000000"/>
              <w:bottom w:val="single" w:sz="4" w:space="0" w:color="000000"/>
              <w:end w:val="single" w:sz="4" w:space="0" w:color="000000"/>
            </w:tcBorders>
            <w:shd w:fill="DFDFDF" w:val="clear"/>
          </w:tcPr>
          <w:p>
            <w:pPr>
              <w:pStyle w:val="Normal"/>
              <w:tabs>
                <w:tab w:val="clear" w:pos="720"/>
                <w:tab w:val="center" w:pos="426" w:leader="none"/>
              </w:tabs>
              <w:snapToGrid w:val="false"/>
              <w:rPr>
                <w:sz w:val="18"/>
              </w:rPr>
            </w:pPr>
            <w:r>
              <w:rPr>
                <w:sz w:val="18"/>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Tiong Hock Lim</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Rob Sexton</w:t>
            </w:r>
          </w:p>
        </w:tc>
        <w:tc>
          <w:tcPr>
            <w:tcW w:w="2610" w:type="dxa"/>
            <w:tcBorders>
              <w:top w:val="single" w:sz="4" w:space="0" w:color="000000"/>
              <w:start w:val="single" w:sz="4" w:space="0" w:color="000000"/>
              <w:bottom w:val="single" w:sz="4" w:space="0" w:color="000000"/>
              <w:end w:val="single" w:sz="4" w:space="0" w:color="000000"/>
            </w:tcBorders>
          </w:tcPr>
          <w:p>
            <w:pPr>
              <w:pStyle w:val="Normal"/>
              <w:tabs>
                <w:tab w:val="clear" w:pos="720"/>
                <w:tab w:val="center" w:pos="426" w:leader="none"/>
              </w:tabs>
              <w:rPr>
                <w:sz w:val="18"/>
              </w:rPr>
            </w:pPr>
            <w:r>
              <w:rPr>
                <w:sz w:val="18"/>
              </w:rPr>
              <w:t>Andy Cornfield</w:t>
            </w:r>
          </w:p>
        </w:tc>
      </w:tr>
    </w:tbl>
    <w:p>
      <w:pPr>
        <w:pStyle w:val="Normal"/>
        <w:tabs>
          <w:tab w:val="clear" w:pos="720"/>
          <w:tab w:val="center" w:pos="426" w:leader="none"/>
        </w:tabs>
        <w:rPr/>
      </w:pPr>
      <w:r>
        <w:rPr/>
      </w:r>
    </w:p>
    <w:sectPr>
      <w:type w:val="nextPage"/>
      <w:pgSz w:orient="landscape" w:w="16838" w:h="11906"/>
      <w:pgMar w:left="1440" w:right="1440" w:gutter="0" w:header="0" w:top="18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2000-12-01T07:07:00Z</dcterms:created>
  <dc:creator>nconnell</dc:creator>
  <dc:description/>
  <dc:language>en-CA</dc:language>
  <cp:lastModifiedBy>lfair</cp:lastModifiedBy>
  <dcterms:modified xsi:type="dcterms:W3CDTF">2000-12-01T09:14:00Z</dcterms:modified>
  <cp:revision>4</cp:revision>
  <dc:subject/>
  <dc:title>REMOTE OFFICE REVIEW PROCESS – POWER &amp; GAS RISK MANAGEMENT</dc:title>
</cp:coreProperties>
</file>