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start"/>
        <w:rPr>
          <w:b w:val="false"/>
          <w:sz w:val="24"/>
          <w:u w:val="none"/>
        </w:rPr>
      </w:pPr>
      <w:r>
        <w:rPr>
          <w:b w:val="false"/>
          <w:sz w:val="24"/>
          <w:u w:val="none"/>
        </w:rPr>
      </w:r>
    </w:p>
    <w:p>
      <w:pPr>
        <w:pStyle w:val="Heading"/>
        <w:jc w:val="start"/>
        <w:rPr>
          <w:b w:val="false"/>
          <w:sz w:val="24"/>
          <w:u w:val="none"/>
        </w:rPr>
      </w:pPr>
      <w:r>
        <w:rPr>
          <w:b w:val="false"/>
          <w:sz w:val="24"/>
          <w:u w:val="none"/>
        </w:rPr>
      </w:r>
    </w:p>
    <w:p>
      <w:pPr>
        <w:pStyle w:val="Heading"/>
        <w:jc w:val="start"/>
        <w:rPr>
          <w:b w:val="false"/>
          <w:sz w:val="24"/>
          <w:u w:val="none"/>
        </w:rPr>
      </w:pPr>
      <w:r>
        <w:rPr>
          <w:b w:val="false"/>
          <w:sz w:val="24"/>
          <w:u w:val="none"/>
        </w:rPr>
      </w:r>
    </w:p>
    <w:p>
      <w:pPr>
        <w:pStyle w:val="Heading"/>
        <w:rPr/>
      </w:pPr>
      <w:r>
        <w:rPr/>
        <w:t>MEMORANDUM OF UNDERSTANDING</w:t>
      </w:r>
    </w:p>
    <w:p>
      <w:pPr>
        <w:pStyle w:val="Normal"/>
        <w:rPr>
          <w:rFonts w:ascii="Times New Roman;Times New Roman" w:hAnsi="Times New Roman;Times New Roman" w:cs="Times New Roman;Times New Roman"/>
          <w:sz w:val="24"/>
        </w:rPr>
      </w:pPr>
      <w:r>
        <w:rPr>
          <w:rFonts w:cs="Times New Roman;Times New Roman" w:ascii="Times New Roman;Times New Roman" w:hAnsi="Times New Roman;Times New Roman"/>
          <w:sz w:val="24"/>
        </w:rPr>
      </w:r>
    </w:p>
    <w:p>
      <w:pPr>
        <w:pStyle w:val="Normal"/>
        <w:rPr>
          <w:rFonts w:ascii="Times New Roman;Times New Roman" w:hAnsi="Times New Roman;Times New Roman" w:cs="Times New Roman;Times New Roman"/>
          <w:sz w:val="24"/>
        </w:rPr>
      </w:pPr>
      <w:r>
        <w:rPr>
          <w:rFonts w:cs="Times New Roman;Times New Roman" w:ascii="Times New Roman;Times New Roman" w:hAnsi="Times New Roman;Times New Roman"/>
          <w:sz w:val="24"/>
        </w:rPr>
      </w:r>
    </w:p>
    <w:p>
      <w:pPr>
        <w:pStyle w:val="Normal"/>
        <w:ind w:firstLine="720" w:end="0"/>
        <w:jc w:val="both"/>
        <w:rPr/>
      </w:pPr>
      <w:r>
        <w:rPr>
          <w:rFonts w:cs="Times New Roman;Times New Roman" w:ascii="Times New Roman;Times New Roman" w:hAnsi="Times New Roman;Times New Roman"/>
          <w:b/>
          <w:sz w:val="24"/>
        </w:rPr>
        <w:t>THIS MEMORANDUM OF UNDERSTANDING (</w:t>
      </w:r>
      <w:r>
        <w:rPr>
          <w:rFonts w:cs="Times New Roman;Times New Roman" w:ascii="Times New Roman;Times New Roman" w:hAnsi="Times New Roman;Times New Roman"/>
          <w:bCs/>
          <w:sz w:val="24"/>
        </w:rPr>
        <w:t xml:space="preserve">this </w:t>
      </w:r>
      <w:r>
        <w:rPr>
          <w:rFonts w:cs="Times New Roman;Times New Roman" w:ascii="Times New Roman;Times New Roman" w:hAnsi="Times New Roman;Times New Roman"/>
          <w:b/>
          <w:sz w:val="24"/>
        </w:rPr>
        <w:t>"MOU")</w:t>
      </w:r>
      <w:r>
        <w:rPr>
          <w:rFonts w:cs="Times New Roman;Times New Roman" w:ascii="Times New Roman;Times New Roman" w:hAnsi="Times New Roman;Times New Roman"/>
          <w:sz w:val="24"/>
        </w:rPr>
        <w:t xml:space="preserve"> is hereby entered into on this ____ day of May, 2001, by and between EDM de Mexico, S. de R.L de C.V., a Mexican company having its business office at Av. Lazaro Cardenas No. 2321, Suite 601, Residencial San Agustin, San Pedro Garza Garcia, Nuevo Leon, C.P. 66260 ("EDM"), and Corporativo Copamex, S.A. de C.V., a Mexican corporation having its business office at Montes Apalaches 101, Residential San Agustin, Garza Garcia, N.L., 66260, México, ("Copamex").  EDM and Copamex (collectively, the “Parties” and, individually, a “Party”) hereby agree to and acknowledge the following:</w:t>
      </w:r>
    </w:p>
    <w:p>
      <w:pPr>
        <w:pStyle w:val="Normal"/>
        <w:rPr>
          <w:rFonts w:ascii="Times New Roman;Times New Roman" w:hAnsi="Times New Roman;Times New Roman" w:cs="Times New Roman;Times New Roman"/>
          <w:sz w:val="24"/>
        </w:rPr>
      </w:pPr>
      <w:r>
        <w:rPr>
          <w:rFonts w:cs="Times New Roman;Times New Roman" w:ascii="Times New Roman;Times New Roman" w:hAnsi="Times New Roman;Times New Roman"/>
          <w:sz w:val="24"/>
        </w:rPr>
      </w:r>
    </w:p>
    <w:p>
      <w:pPr>
        <w:pStyle w:val="Normal"/>
        <w:ind w:firstLine="720" w:end="0"/>
        <w:jc w:val="both"/>
        <w:rPr/>
      </w:pPr>
      <w:r>
        <w:rPr>
          <w:rFonts w:cs="Times New Roman;Times New Roman" w:ascii="Times New Roman;Times New Roman" w:hAnsi="Times New Roman;Times New Roman"/>
          <w:sz w:val="24"/>
        </w:rPr>
        <w:t>1.</w:t>
        <w:tab/>
      </w:r>
      <w:r>
        <w:rPr>
          <w:rFonts w:cs="Times New Roman;Times New Roman" w:ascii="Times New Roman;Times New Roman" w:hAnsi="Times New Roman;Times New Roman"/>
          <w:sz w:val="24"/>
          <w:u w:val="single"/>
        </w:rPr>
        <w:t>Annex 1</w:t>
      </w:r>
      <w:r>
        <w:rPr>
          <w:rFonts w:cs="Times New Roman;Times New Roman" w:ascii="Times New Roman;Times New Roman" w:hAnsi="Times New Roman;Times New Roman"/>
          <w:sz w:val="24"/>
        </w:rPr>
        <w:t>.  This MOU and the attached Annex 1 evidence the mutual current intentions and understanding of the Parties with respect to a proposed 51 MW and 90 metric ton per hour of steam cogeneration power project that is to be developed, designed, financed, constructed and operated by EDM in the vicinity of Copamex’s paper manufacturing facility located near Anahuac, Mexico for the purpose of providing electric power and steam to Copamex (the “Project”).  Annex 1 sets forth the Parties' current understanding as to certain of the terms relating to the Project and is by reference made a part of this MOU.</w:t>
      </w:r>
    </w:p>
    <w:p>
      <w:pPr>
        <w:pStyle w:val="Normal"/>
        <w:rPr>
          <w:rFonts w:ascii="Times New Roman;Times New Roman" w:hAnsi="Times New Roman;Times New Roman" w:cs="Times New Roman;Times New Roman"/>
          <w:sz w:val="24"/>
        </w:rPr>
      </w:pPr>
      <w:r>
        <w:rPr>
          <w:rFonts w:cs="Times New Roman;Times New Roman" w:ascii="Times New Roman;Times New Roman" w:hAnsi="Times New Roman;Times New Roman"/>
          <w:sz w:val="24"/>
        </w:rPr>
      </w:r>
    </w:p>
    <w:p>
      <w:pPr>
        <w:pStyle w:val="Normal"/>
        <w:jc w:val="both"/>
        <w:rPr/>
      </w:pPr>
      <w:r>
        <w:rPr>
          <w:rFonts w:cs="Times New Roman;Times New Roman" w:ascii="Times New Roman;Times New Roman" w:hAnsi="Times New Roman;Times New Roman"/>
          <w:sz w:val="24"/>
        </w:rPr>
        <w:tab/>
        <w:t>2.</w:t>
        <w:tab/>
      </w:r>
      <w:r>
        <w:rPr>
          <w:rFonts w:cs="Times New Roman;Times New Roman" w:ascii="Times New Roman;Times New Roman" w:hAnsi="Times New Roman;Times New Roman"/>
          <w:sz w:val="24"/>
          <w:u w:val="single"/>
        </w:rPr>
        <w:t>Definitive Agreements</w:t>
      </w:r>
      <w:r>
        <w:rPr>
          <w:rFonts w:cs="Times New Roman;Times New Roman" w:ascii="Times New Roman;Times New Roman" w:hAnsi="Times New Roman;Times New Roman"/>
          <w:sz w:val="24"/>
        </w:rPr>
        <w:t>.  The Parties presently intend to negotiate in an attempt to prepare mutually satisfactory definitive agreements relative to the sale of power and steam to Copamex and related agreements consistent with the terms of this MOU and Annex 1.  This MOU does not create and is not intended to create a binding and enforceable contract between the Parties.  A binding commitment with respect to the Project can only result from the execution and delivery by the Parties of mutually acceptable definitive agreements.  It is further understood and agreed that neither Party shall have any obligation whatsoever to enter into any definitive agreement on any terms other than those acceptable to such Party in its sole discretion.  In the event the Parties have not executed definitive agreements by the end of the term of this MOU, the understandings set forth in this MOU shall be deemed terminated and neither Party shall have any obligation to the other, including, but not limited to, any obligation to review, negotiate or consummate the terms of the MOU and the attached Annex 1.</w:t>
      </w:r>
    </w:p>
    <w:p>
      <w:pPr>
        <w:pStyle w:val="Normal"/>
        <w:rPr>
          <w:rFonts w:ascii="Times New Roman;Times New Roman" w:hAnsi="Times New Roman;Times New Roman" w:cs="Times New Roman;Times New Roman"/>
          <w:sz w:val="24"/>
        </w:rPr>
      </w:pPr>
      <w:r>
        <w:rPr>
          <w:rFonts w:cs="Times New Roman;Times New Roman" w:ascii="Times New Roman;Times New Roman" w:hAnsi="Times New Roman;Times New Roman"/>
          <w:sz w:val="24"/>
        </w:rPr>
      </w:r>
    </w:p>
    <w:p>
      <w:pPr>
        <w:pStyle w:val="Normal"/>
        <w:jc w:val="both"/>
        <w:rPr/>
      </w:pPr>
      <w:r>
        <w:rPr>
          <w:rFonts w:cs="Times New Roman;Times New Roman" w:ascii="Times New Roman;Times New Roman" w:hAnsi="Times New Roman;Times New Roman"/>
          <w:sz w:val="24"/>
        </w:rPr>
        <w:tab/>
        <w:t>3.</w:t>
        <w:tab/>
      </w:r>
      <w:r>
        <w:rPr>
          <w:rFonts w:cs="Times New Roman;Times New Roman" w:ascii="Times New Roman;Times New Roman" w:hAnsi="Times New Roman;Times New Roman"/>
          <w:sz w:val="24"/>
          <w:u w:val="single"/>
        </w:rPr>
        <w:t>Exclusivity Agreement</w:t>
      </w:r>
      <w:r>
        <w:rPr>
          <w:rFonts w:cs="Times New Roman;Times New Roman" w:ascii="Times New Roman;Times New Roman" w:hAnsi="Times New Roman;Times New Roman"/>
          <w:sz w:val="24"/>
        </w:rPr>
        <w:t>.  Copamex acknowledges the need to cooperate with EDM with regard to the Project, and to grant EDM a period of exclusivity in order to compensate EDM for the expenses to be incurred by EDM during the term of this MOU in connection with the development of the Project.  Therefore, Copamex agrees that, during the period of time commencing on the date of this MOU and concluding on the date six months from the date of this MOU, Copamex will not (and will cause its affiliates not to) solicit proposals from, or conduct negotiations or discussions with, or provide information to, any person or entity (other than EDM) regarding (a) the potential purchase or sale of electric power or steam, (b) the Project or (c) any business venture or other arrangement that is identical or similar to, or could compete with, the Project, and Copamex (and its affiliates) shall deal exclusively with EDM relative to all such matters.  Copamex hereby represents and warrants to EDM that Copamex (and its affiliates) are not under any currently enforceable obligation or agreement with any other person or entity relating to the potential purchase or sale of electric power or steam, or any business venture or other arrangement that is identical or similar to, or could compete with, the Project.</w:t>
      </w:r>
    </w:p>
    <w:p>
      <w:pPr>
        <w:pStyle w:val="Normal"/>
        <w:rPr>
          <w:rFonts w:ascii="Times New Roman;Times New Roman" w:hAnsi="Times New Roman;Times New Roman" w:cs="Times New Roman;Times New Roman"/>
          <w:sz w:val="24"/>
        </w:rPr>
      </w:pPr>
      <w:r>
        <w:rPr>
          <w:rFonts w:cs="Times New Roman;Times New Roman" w:ascii="Times New Roman;Times New Roman" w:hAnsi="Times New Roman;Times New Roman"/>
          <w:sz w:val="24"/>
        </w:rPr>
      </w:r>
    </w:p>
    <w:p>
      <w:pPr>
        <w:pStyle w:val="Normal"/>
        <w:jc w:val="both"/>
        <w:rPr/>
      </w:pPr>
      <w:r>
        <w:rPr>
          <w:rFonts w:cs="Times New Roman;Times New Roman" w:ascii="Times New Roman;Times New Roman" w:hAnsi="Times New Roman;Times New Roman"/>
          <w:sz w:val="24"/>
        </w:rPr>
        <w:tab/>
        <w:t>4.</w:t>
        <w:tab/>
      </w:r>
      <w:r>
        <w:rPr>
          <w:rFonts w:cs="Times New Roman;Times New Roman" w:ascii="Times New Roman;Times New Roman" w:hAnsi="Times New Roman;Times New Roman"/>
          <w:sz w:val="24"/>
          <w:u w:val="single"/>
        </w:rPr>
        <w:t>Confidentiality</w:t>
      </w:r>
      <w:r>
        <w:rPr>
          <w:rFonts w:cs="Times New Roman;Times New Roman" w:ascii="Times New Roman;Times New Roman" w:hAnsi="Times New Roman;Times New Roman"/>
          <w:sz w:val="24"/>
        </w:rPr>
        <w:t>.  The Parties are prepared to furnish each another with certain information which is either proprietary or otherwise not generally available to the public in connection with the Project.  As a condition to receiving such information, each Party agrees that, during the term of this MOU and for a period extending until twelve (12) months after the date of termination of this MOU, it shall use the Confidential Information (as defined below) solely in connection with an evaluation of the Project and unless and until the Project as been completed, neither Party shall disclose the Confidential Information to any person other than those of its directors, officers, employees affiliates, lenders, counsel and other representatives (collectively, the “Representatives”) who need to know the Confidential Information for evaluation and completion of the Project.  It is understood and agreed (i) that such Representatives shall be informed by the receiving Party of the confidential nature of the Confidential Information and the requirement that it not be used other than for the purpose described above, (ii) that such Representatives shall be required to agree to and be bound by the terms of this Section 4 as a condition of receiving the Confidential Information and (iii) that, in any event, the receiving Party shall be responsible for any breach of this MOU by any of its Representatives.  The receiving Party will safeguard the Confidential Information from unauthorized disclosure in the same manner as it treats its own proprietary information.  The term “person” as used in this MOU shall be broadly interpreted to include, without limitation, any corporation, company, partnership, individual or other entity.</w:t>
      </w:r>
    </w:p>
    <w:p>
      <w:pPr>
        <w:pStyle w:val="Normal"/>
        <w:rPr>
          <w:rFonts w:ascii="Times New Roman;Times New Roman" w:hAnsi="Times New Roman;Times New Roman" w:cs="Times New Roman;Times New Roman"/>
          <w:sz w:val="24"/>
        </w:rPr>
      </w:pPr>
      <w:r>
        <w:rPr>
          <w:rFonts w:cs="Times New Roman;Times New Roman" w:ascii="Times New Roman;Times New Roman" w:hAnsi="Times New Roman;Times New Roman"/>
          <w:sz w:val="24"/>
        </w:rPr>
      </w:r>
    </w:p>
    <w:p>
      <w:pPr>
        <w:pStyle w:val="Normal"/>
        <w:ind w:firstLine="720" w:end="0"/>
        <w:jc w:val="both"/>
        <w:rPr>
          <w:rFonts w:ascii="Times New Roman;Times New Roman" w:hAnsi="Times New Roman;Times New Roman" w:cs="Times New Roman;Times New Roman"/>
          <w:sz w:val="24"/>
        </w:rPr>
      </w:pPr>
      <w:r>
        <w:rPr>
          <w:rFonts w:cs="Times New Roman;Times New Roman" w:ascii="Times New Roman;Times New Roman" w:hAnsi="Times New Roman;Times New Roman"/>
          <w:sz w:val="24"/>
        </w:rPr>
        <w:t>Except as may be required by applicable law or stock exchange rules, without the prior written consent of the disclosing Party, the receiving Party will not, and will direct its Representatives not to, disclose to any person either the fact that the Confidential Information has been made available to the receiving Party or that the receiving Party has inspected any portion of the Confidential Information, the fact that discussions with respect to the Project are taking place, or other facts with respect to these discussions, including the status thereof.</w:t>
      </w:r>
    </w:p>
    <w:p>
      <w:pPr>
        <w:pStyle w:val="Normal"/>
        <w:rPr>
          <w:rFonts w:ascii="Times New Roman;Times New Roman" w:hAnsi="Times New Roman;Times New Roman" w:cs="Times New Roman;Times New Roman"/>
          <w:sz w:val="24"/>
        </w:rPr>
      </w:pPr>
      <w:r>
        <w:rPr>
          <w:rFonts w:cs="Times New Roman;Times New Roman" w:ascii="Times New Roman;Times New Roman" w:hAnsi="Times New Roman;Times New Roman"/>
          <w:sz w:val="24"/>
        </w:rPr>
      </w:r>
    </w:p>
    <w:p>
      <w:pPr>
        <w:pStyle w:val="BodyTextIndent"/>
        <w:rPr/>
      </w:pPr>
      <w:r>
        <w:rPr/>
        <w:t>If the receiving Party or its Representatives are requested or required (by oral question, interrogatory, request for information or document, subpoena, civil investigative demand or similar process) to disclose any Confidential Information, the receiving Party will promptly notify the disclosing Party of such request or requirement, prior to any disclosure thereof, so that the disclosing Party may seek an appropriate protective order in compliance with provisions of this Section 4.  If in the absence of a protective order, the receiving Party or its Representatives are, in the written opinion of the receiving Party’s counsel addressed to the disclosing Party, compelled to disclose Confidential Information or otherwise suffer significant penalty, the receiving Party may disclose only such of the Confidential Information to the party compelling disclosure as is required by law, but the receiving Party will exercise its best efforts to obtain a protective order or other reliable assurance that confidential treatment will be accorded the Confidential Information.</w:t>
      </w:r>
    </w:p>
    <w:p>
      <w:pPr>
        <w:pStyle w:val="Normal"/>
        <w:rPr>
          <w:rFonts w:ascii="Times New Roman;Times New Roman" w:hAnsi="Times New Roman;Times New Roman" w:cs="Times New Roman;Times New Roman"/>
          <w:sz w:val="24"/>
        </w:rPr>
      </w:pPr>
      <w:r>
        <w:rPr>
          <w:rFonts w:cs="Times New Roman;Times New Roman" w:ascii="Times New Roman;Times New Roman" w:hAnsi="Times New Roman;Times New Roman"/>
          <w:sz w:val="24"/>
        </w:rPr>
      </w:r>
    </w:p>
    <w:p>
      <w:pPr>
        <w:pStyle w:val="BodyText"/>
        <w:ind w:firstLine="720" w:end="0"/>
        <w:jc w:val="both"/>
        <w:rPr/>
      </w:pPr>
      <w:r>
        <w:rPr/>
        <w:t>As used in this MOU, “Confidential Information” means all information that is furnished to the receiving Party or its Representatives by the disclosing Party that concerns the disclosing Party, its affiliates or subsidiaries, and which is either confidential, proprietary or otherwise not generally available to the public.  Any information furnished to the receiving Party or its Representatives by a Representative of the disclosing Party shall be deemed for the purpose of this MOU to be furnished by the disclosing Party.  Notwithstanding the foregoing, the following will not constitute Confidential Information for purposes of this Section 4:  (x) information which is or becomes generally available to the public other than as a result of an unauthorized disclosure by the receiving Party or the Representatives, (y) information which was already in the receiving Party’s files on a nonconfidential basis prior to being furnished to the receiving Party by the disclosing Party, or (z) information which becomes available to the receiving Party on a nonconfidential basis from a source other than the disclosing Party if such source was not subject to any prohibition against transmitting the information to the receiving Party.</w:t>
      </w:r>
    </w:p>
    <w:p>
      <w:pPr>
        <w:pStyle w:val="Normal"/>
        <w:rPr>
          <w:rFonts w:ascii="Times New Roman;Times New Roman" w:hAnsi="Times New Roman;Times New Roman" w:cs="Times New Roman;Times New Roman"/>
          <w:sz w:val="24"/>
        </w:rPr>
      </w:pPr>
      <w:r>
        <w:rPr>
          <w:rFonts w:cs="Times New Roman;Times New Roman" w:ascii="Times New Roman;Times New Roman" w:hAnsi="Times New Roman;Times New Roman"/>
          <w:sz w:val="24"/>
        </w:rPr>
      </w:r>
    </w:p>
    <w:p>
      <w:pPr>
        <w:pStyle w:val="Normal"/>
        <w:ind w:firstLine="720" w:end="0"/>
        <w:jc w:val="both"/>
        <w:rPr>
          <w:rFonts w:ascii="Times New Roman;Times New Roman" w:hAnsi="Times New Roman;Times New Roman" w:cs="Times New Roman;Times New Roman"/>
          <w:sz w:val="24"/>
        </w:rPr>
      </w:pPr>
      <w:r>
        <w:rPr>
          <w:rFonts w:cs="Times New Roman;Times New Roman" w:ascii="Times New Roman;Times New Roman" w:hAnsi="Times New Roman;Times New Roman"/>
          <w:sz w:val="24"/>
        </w:rPr>
        <w:t>The receiving Party shall keep a record of the Confidential Information furnished to the receiving Party and of the location of such Confidential Information.  The written Confidential Information, except that portion which may be found in analyses, compilations, studies or other documents prepared by or for the receiving Party, will be returned to disclosing Party immediately upon the disclosing Party’s request, and no copies shall be retained by the receiving Party or its Representatives.  The portion of the Confidential Information that may be found in analyses, compilations, studies or other documents prepared by or for the receiving Party, oral Confidential Information and written Confidential Information not so requested or returned will be held by the receiving Party and kept subject to the terms of this Agreement, or destroyed.</w:t>
      </w:r>
    </w:p>
    <w:p>
      <w:pPr>
        <w:pStyle w:val="Normal"/>
        <w:rPr>
          <w:rFonts w:ascii="Times New Roman;Times New Roman" w:hAnsi="Times New Roman;Times New Roman" w:cs="Times New Roman;Times New Roman"/>
          <w:sz w:val="24"/>
        </w:rPr>
      </w:pPr>
      <w:r>
        <w:rPr>
          <w:rFonts w:cs="Times New Roman;Times New Roman" w:ascii="Times New Roman;Times New Roman" w:hAnsi="Times New Roman;Times New Roman"/>
          <w:sz w:val="24"/>
        </w:rPr>
      </w:r>
    </w:p>
    <w:p>
      <w:pPr>
        <w:pStyle w:val="BodyTextIndent"/>
        <w:rPr/>
      </w:pPr>
      <w:r>
        <w:rPr/>
        <w:t>The receiving Party understands that the disclosing Party has endeavored to include in the information it furnishes the receiving Party materials which the disclosing Party believes to be reliable and relevant for the purpose of the receiving Party’s evaluation, but the receiving Party acknowledges that the disclosing Party does not make any representation or warranty as to the accuracy or completeness of any information which is so provided, and neither the disclosing Party nor any officer, director, employee, or representative of the disclosing Party shall have any liability to the receiving Party or the Representatives.  For the purposes of this Section 4, “information” is deemed to include all information furnished by the disclosing Party to the receiving Party, whether or not Confidential Information as defined in this Section 4.</w:t>
      </w:r>
    </w:p>
    <w:p>
      <w:pPr>
        <w:pStyle w:val="Normal"/>
        <w:rPr>
          <w:rFonts w:ascii="Times New Roman;Times New Roman" w:hAnsi="Times New Roman;Times New Roman" w:cs="Times New Roman;Times New Roman"/>
          <w:sz w:val="24"/>
        </w:rPr>
      </w:pPr>
      <w:r>
        <w:rPr>
          <w:rFonts w:cs="Times New Roman;Times New Roman" w:ascii="Times New Roman;Times New Roman" w:hAnsi="Times New Roman;Times New Roman"/>
          <w:sz w:val="24"/>
        </w:rPr>
      </w:r>
    </w:p>
    <w:p>
      <w:pPr>
        <w:pStyle w:val="Normal"/>
        <w:jc w:val="both"/>
        <w:rPr/>
      </w:pPr>
      <w:r>
        <w:rPr>
          <w:rFonts w:cs="Times New Roman;Times New Roman" w:ascii="Times New Roman;Times New Roman" w:hAnsi="Times New Roman;Times New Roman"/>
          <w:sz w:val="24"/>
        </w:rPr>
        <w:tab/>
        <w:t>5.</w:t>
        <w:tab/>
      </w:r>
      <w:r>
        <w:rPr>
          <w:rFonts w:cs="Times New Roman;Times New Roman" w:ascii="Times New Roman;Times New Roman" w:hAnsi="Times New Roman;Times New Roman"/>
          <w:sz w:val="24"/>
          <w:u w:val="single"/>
        </w:rPr>
        <w:t>Expenses</w:t>
      </w:r>
      <w:r>
        <w:rPr>
          <w:rFonts w:cs="Times New Roman;Times New Roman" w:ascii="Times New Roman;Times New Roman" w:hAnsi="Times New Roman;Times New Roman"/>
          <w:sz w:val="24"/>
        </w:rPr>
        <w:t xml:space="preserve">.  Except as otherwise agreed to in writing by both Parties and regardless of whether the Project is consummated, each of the Parties shall pay all fees and expenses incurred by it in connection with this MOU. </w:t>
      </w:r>
    </w:p>
    <w:p>
      <w:pPr>
        <w:pStyle w:val="Normal"/>
        <w:rPr>
          <w:rFonts w:ascii="Times New Roman;Times New Roman" w:hAnsi="Times New Roman;Times New Roman" w:cs="Times New Roman;Times New Roman"/>
          <w:sz w:val="24"/>
        </w:rPr>
      </w:pPr>
      <w:r>
        <w:rPr>
          <w:rFonts w:cs="Times New Roman;Times New Roman" w:ascii="Times New Roman;Times New Roman" w:hAnsi="Times New Roman;Times New Roman"/>
          <w:sz w:val="24"/>
        </w:rPr>
      </w:r>
    </w:p>
    <w:p>
      <w:pPr>
        <w:pStyle w:val="Normal"/>
        <w:ind w:firstLine="720" w:end="0"/>
        <w:jc w:val="both"/>
        <w:rPr/>
      </w:pPr>
      <w:r>
        <w:rPr>
          <w:rFonts w:cs="Times New Roman;Times New Roman" w:ascii="Times New Roman;Times New Roman" w:hAnsi="Times New Roman;Times New Roman"/>
          <w:sz w:val="24"/>
        </w:rPr>
        <w:t>6.</w:t>
        <w:tab/>
      </w:r>
      <w:r>
        <w:rPr>
          <w:rFonts w:cs="Times New Roman;Times New Roman" w:ascii="Times New Roman;Times New Roman" w:hAnsi="Times New Roman;Times New Roman"/>
          <w:sz w:val="24"/>
          <w:u w:val="single"/>
        </w:rPr>
        <w:t>No Joint Liability</w:t>
      </w:r>
      <w:r>
        <w:rPr>
          <w:rFonts w:cs="Times New Roman;Times New Roman" w:ascii="Times New Roman;Times New Roman" w:hAnsi="Times New Roman;Times New Roman"/>
          <w:sz w:val="24"/>
        </w:rPr>
        <w:t>.  Unless specifically otherwise agreed in writing by both Parties, neither Party can commit the other Party to any agreement or undertaking.  Nothing in this MOU shall be construed to create or constitute a partnership, agency or similar relationship, or to create any joint liability on the part of either Party.  Copamex acknowledges and agrees that it is not an agent or a representative of EDM and further acknowledges and agrees that neither Copamex nor any employee, officer, director, shareholder or agent of Copamex shall represent itself as representing EDM for any purposes.</w:t>
      </w:r>
    </w:p>
    <w:p>
      <w:pPr>
        <w:pStyle w:val="Normal"/>
        <w:jc w:val="both"/>
        <w:rPr>
          <w:rFonts w:ascii="Times New Roman;Times New Roman" w:hAnsi="Times New Roman;Times New Roman" w:cs="Times New Roman;Times New Roman"/>
          <w:sz w:val="24"/>
        </w:rPr>
      </w:pPr>
      <w:r>
        <w:rPr>
          <w:rFonts w:cs="Times New Roman;Times New Roman" w:ascii="Times New Roman;Times New Roman" w:hAnsi="Times New Roman;Times New Roman"/>
          <w:sz w:val="24"/>
        </w:rPr>
        <w:tab/>
      </w:r>
    </w:p>
    <w:p>
      <w:pPr>
        <w:pStyle w:val="Normal"/>
        <w:ind w:firstLine="720" w:end="0"/>
        <w:jc w:val="both"/>
        <w:rPr/>
      </w:pPr>
      <w:r>
        <w:rPr>
          <w:rFonts w:cs="Times New Roman;Times New Roman" w:ascii="Times New Roman;Times New Roman" w:hAnsi="Times New Roman;Times New Roman"/>
          <w:sz w:val="24"/>
        </w:rPr>
        <w:t>7.</w:t>
        <w:tab/>
      </w:r>
      <w:r>
        <w:rPr>
          <w:rFonts w:cs="Times New Roman;Times New Roman" w:ascii="Times New Roman;Times New Roman" w:hAnsi="Times New Roman;Times New Roman"/>
          <w:sz w:val="24"/>
          <w:u w:val="single"/>
        </w:rPr>
        <w:t>Governing Law and Arbitration</w:t>
      </w:r>
      <w:r>
        <w:rPr>
          <w:rFonts w:cs="Times New Roman;Times New Roman" w:ascii="Times New Roman;Times New Roman" w:hAnsi="Times New Roman;Times New Roman"/>
          <w:sz w:val="24"/>
        </w:rPr>
        <w:t>.  The laws of the State of New York, USA, without regard to its conflicts of law principles, shall govern this MOU and all disputes related hereto.  All disputes, claims and matters in question arising out of this MOU or Annex 1 shall be resolved by arbitration pursuant to the rules of arbitration of the International Chamber of Commerce.  There shall be three arbitrators.  EDM shall designate one arbitrator and Copamex shall designate one arbitrator, in each case within thirty days after the initiation of an arbitration proceeding hereunder.  In the event either Party fails to so designate an arbitrator within such time period, the other Party may make such designation.  The two arbitrators so designated shall elect a third arbitrator within thirty days after appointment of the second arbitrator.  In the event the two arbitrators fail to designate a third arbitrator within such period, the third arbitrator shall be appointed in accordance with the aforementioned rules.  The arbitration shall take place in New York, New York, USA, and shall be conducted in the English language.  The arbitration decision shall be final and binding upon the Parties and judgment upon the award shall be entered in any court having jurisdiction over the Party against whom enforcement is sought.</w:t>
      </w:r>
    </w:p>
    <w:p>
      <w:pPr>
        <w:pStyle w:val="Normal"/>
        <w:rPr>
          <w:rFonts w:ascii="Times New Roman;Times New Roman" w:hAnsi="Times New Roman;Times New Roman" w:cs="Times New Roman;Times New Roman"/>
          <w:sz w:val="24"/>
        </w:rPr>
      </w:pPr>
      <w:r>
        <w:rPr>
          <w:rFonts w:cs="Times New Roman;Times New Roman" w:ascii="Times New Roman;Times New Roman" w:hAnsi="Times New Roman;Times New Roman"/>
          <w:sz w:val="24"/>
        </w:rPr>
      </w:r>
    </w:p>
    <w:p>
      <w:pPr>
        <w:pStyle w:val="Normal"/>
        <w:ind w:firstLine="720" w:end="0"/>
        <w:jc w:val="both"/>
        <w:rPr/>
      </w:pPr>
      <w:r>
        <w:rPr>
          <w:rFonts w:cs="Times New Roman;Times New Roman" w:ascii="Times New Roman;Times New Roman" w:hAnsi="Times New Roman;Times New Roman"/>
          <w:sz w:val="24"/>
        </w:rPr>
        <w:t>8.</w:t>
        <w:tab/>
      </w:r>
      <w:r>
        <w:rPr>
          <w:rFonts w:cs="Times New Roman;Times New Roman" w:ascii="Times New Roman;Times New Roman" w:hAnsi="Times New Roman;Times New Roman"/>
          <w:sz w:val="24"/>
          <w:u w:val="single"/>
        </w:rPr>
        <w:t>Non-binding Obligation</w:t>
      </w:r>
      <w:r>
        <w:rPr>
          <w:rFonts w:cs="Times New Roman;Times New Roman" w:ascii="Times New Roman;Times New Roman" w:hAnsi="Times New Roman;Times New Roman"/>
          <w:sz w:val="24"/>
        </w:rPr>
        <w:t>.  Except with respect to the provisions set forth in Sections 3 through 10 of this MOU (each of which is intended to be, and is hereby deemed to be, binding upon each of EDM and Copamex), the Parties hereby expressly acknowledge and agree that this MOU (including Annex 1 hereto) merely sets forth the Parties' mutual intention and understanding and is not intended to create and does not create a binding or enforceable contract or agreement between or among the Parties.</w:t>
      </w:r>
    </w:p>
    <w:p>
      <w:pPr>
        <w:pStyle w:val="Normal"/>
        <w:ind w:firstLine="720" w:end="0"/>
        <w:rPr>
          <w:rFonts w:ascii="Times New Roman;Times New Roman" w:hAnsi="Times New Roman;Times New Roman" w:cs="Times New Roman;Times New Roman"/>
          <w:sz w:val="24"/>
        </w:rPr>
      </w:pPr>
      <w:r>
        <w:rPr>
          <w:rFonts w:cs="Times New Roman;Times New Roman" w:ascii="Times New Roman;Times New Roman" w:hAnsi="Times New Roman;Times New Roman"/>
          <w:sz w:val="24"/>
        </w:rPr>
      </w:r>
    </w:p>
    <w:p>
      <w:pPr>
        <w:pStyle w:val="Normal"/>
        <w:ind w:firstLine="720" w:end="0"/>
        <w:jc w:val="both"/>
        <w:rPr/>
      </w:pPr>
      <w:r>
        <w:rPr>
          <w:rFonts w:cs="Times New Roman;Times New Roman" w:ascii="Times New Roman;Times New Roman" w:hAnsi="Times New Roman;Times New Roman"/>
          <w:sz w:val="24"/>
        </w:rPr>
        <w:t>9.</w:t>
        <w:tab/>
      </w:r>
      <w:r>
        <w:rPr>
          <w:rFonts w:cs="Times New Roman;Times New Roman" w:ascii="Times New Roman;Times New Roman" w:hAnsi="Times New Roman;Times New Roman"/>
          <w:sz w:val="24"/>
          <w:u w:val="single"/>
        </w:rPr>
        <w:t>Term</w:t>
      </w:r>
      <w:r>
        <w:rPr>
          <w:rFonts w:cs="Times New Roman;Times New Roman" w:ascii="Times New Roman;Times New Roman" w:hAnsi="Times New Roman;Times New Roman"/>
          <w:sz w:val="24"/>
        </w:rPr>
        <w:t>.  This MOU shall become effective on the date hereof and shall remain in effect until it is deemed terminated on the earlier to occur of (i) the date which is six months from the date of this MOU or (ii) the execution and delivery by the Parties of the definitive agreements described in Section 2 above; provided, however, that the provisions of Sections 3 through 10 of this MOU shall survive any such expiration or termination of this MOU in accordance with the terms thereof.</w:t>
      </w:r>
    </w:p>
    <w:p>
      <w:pPr>
        <w:pStyle w:val="Normal"/>
        <w:ind w:firstLine="720" w:end="0"/>
        <w:rPr>
          <w:rFonts w:ascii="Times New Roman;Times New Roman" w:hAnsi="Times New Roman;Times New Roman" w:cs="Times New Roman;Times New Roman"/>
          <w:sz w:val="24"/>
        </w:rPr>
      </w:pPr>
      <w:r>
        <w:rPr>
          <w:rFonts w:cs="Times New Roman;Times New Roman" w:ascii="Times New Roman;Times New Roman" w:hAnsi="Times New Roman;Times New Roman"/>
          <w:sz w:val="24"/>
        </w:rPr>
      </w:r>
    </w:p>
    <w:p>
      <w:pPr>
        <w:pStyle w:val="Normal"/>
        <w:ind w:firstLine="720" w:end="0"/>
        <w:jc w:val="both"/>
        <w:rPr/>
      </w:pPr>
      <w:r>
        <w:rPr>
          <w:rFonts w:cs="Times New Roman;Times New Roman" w:ascii="Times New Roman;Times New Roman" w:hAnsi="Times New Roman;Times New Roman"/>
          <w:sz w:val="24"/>
        </w:rPr>
        <w:t>10.</w:t>
        <w:tab/>
      </w:r>
      <w:r>
        <w:rPr>
          <w:rFonts w:cs="Times New Roman;Times New Roman" w:ascii="Times New Roman;Times New Roman" w:hAnsi="Times New Roman;Times New Roman"/>
          <w:sz w:val="24"/>
          <w:u w:val="single"/>
        </w:rPr>
        <w:t>Waiver</w:t>
      </w:r>
      <w:r>
        <w:rPr>
          <w:rFonts w:cs="Times New Roman;Times New Roman" w:ascii="Times New Roman;Times New Roman" w:hAnsi="Times New Roman;Times New Roman"/>
          <w:sz w:val="24"/>
        </w:rPr>
        <w:t>.  EACH PARTY WAIVES, TO THE MAXIMUM EXTENT NOT PROHIBITED BY APPLICABLE LAW, ANY RIGHT IT MAY HAVE TO CLAIM OR RECOVER IN ANY LEGAL ACTION OR PROCEEDING ANY SPECIAL, INCIDENTAL, EXEMPLARY, PUNITIVE OR CONSEQUENTIAL DAMAGES.</w:t>
      </w:r>
      <w:r>
        <w:br w:type="page"/>
      </w:r>
    </w:p>
    <w:p>
      <w:pPr>
        <w:pStyle w:val="Normal"/>
        <w:rPr>
          <w:rFonts w:ascii="Times New Roman;Times New Roman" w:hAnsi="Times New Roman;Times New Roman" w:cs="Times New Roman;Times New Roman"/>
          <w:sz w:val="24"/>
        </w:rPr>
      </w:pPr>
      <w:r>
        <w:rPr>
          <w:rFonts w:cs="Times New Roman;Times New Roman" w:ascii="Times New Roman;Times New Roman" w:hAnsi="Times New Roman;Times New Roman"/>
          <w:sz w:val="24"/>
        </w:rPr>
      </w:r>
    </w:p>
    <w:p>
      <w:pPr>
        <w:pStyle w:val="Normal"/>
        <w:ind w:firstLine="720" w:end="0"/>
        <w:rPr/>
      </w:pPr>
      <w:r>
        <w:rPr>
          <w:rFonts w:cs="Times New Roman;Times New Roman" w:ascii="Times New Roman;Times New Roman" w:hAnsi="Times New Roman;Times New Roman"/>
          <w:b/>
          <w:sz w:val="24"/>
        </w:rPr>
        <w:t>IN WITNESS WHEREOF,</w:t>
      </w:r>
      <w:r>
        <w:rPr>
          <w:rFonts w:cs="Times New Roman;Times New Roman" w:ascii="Times New Roman;Times New Roman" w:hAnsi="Times New Roman;Times New Roman"/>
          <w:sz w:val="24"/>
        </w:rPr>
        <w:t xml:space="preserve"> each of the undersigned Parties has caused this MOU to be executed and delivered by its duly authorized officer on the date first written above.</w:t>
      </w:r>
    </w:p>
    <w:p>
      <w:pPr>
        <w:pStyle w:val="Normal"/>
        <w:rPr>
          <w:rFonts w:ascii="Times New Roman;Times New Roman" w:hAnsi="Times New Roman;Times New Roman" w:cs="Times New Roman;Times New Roman"/>
          <w:sz w:val="24"/>
        </w:rPr>
      </w:pPr>
      <w:r>
        <w:rPr>
          <w:rFonts w:cs="Times New Roman;Times New Roman" w:ascii="Times New Roman;Times New Roman" w:hAnsi="Times New Roman;Times New Roman"/>
          <w:sz w:val="24"/>
        </w:rPr>
      </w:r>
    </w:p>
    <w:p>
      <w:pPr>
        <w:pStyle w:val="Normal"/>
        <w:rPr>
          <w:rFonts w:ascii="Times New Roman;Times New Roman" w:hAnsi="Times New Roman;Times New Roman" w:cs="Times New Roman;Times New Roman"/>
          <w:sz w:val="24"/>
        </w:rPr>
      </w:pPr>
      <w:r>
        <w:rPr>
          <w:rFonts w:cs="Times New Roman;Times New Roman" w:ascii="Times New Roman;Times New Roman" w:hAnsi="Times New Roman;Times New Roman"/>
          <w:sz w:val="24"/>
        </w:rPr>
      </w:r>
    </w:p>
    <w:p>
      <w:pPr>
        <w:pStyle w:val="Normal"/>
        <w:rPr/>
      </w:pPr>
      <w:r>
        <w:rPr>
          <w:rFonts w:cs="Times New Roman;Times New Roman" w:ascii="Times New Roman;Times New Roman" w:hAnsi="Times New Roman;Times New Roman"/>
          <w:sz w:val="24"/>
        </w:rPr>
        <w:tab/>
        <w:tab/>
        <w:tab/>
        <w:tab/>
        <w:tab/>
      </w:r>
      <w:r>
        <w:rPr>
          <w:rFonts w:cs="Times New Roman;Times New Roman" w:ascii="Times New Roman;Times New Roman" w:hAnsi="Times New Roman;Times New Roman"/>
          <w:b/>
          <w:sz w:val="24"/>
        </w:rPr>
        <w:t>ENRON DE MEXICO, S. DE R.L. DE C.V.</w:t>
      </w:r>
    </w:p>
    <w:p>
      <w:pPr>
        <w:pStyle w:val="Normal"/>
        <w:rPr>
          <w:rFonts w:ascii="Times New Roman;Times New Roman" w:hAnsi="Times New Roman;Times New Roman" w:cs="Times New Roman;Times New Roman"/>
          <w:b/>
          <w:sz w:val="24"/>
        </w:rPr>
      </w:pPr>
      <w:r>
        <w:rPr>
          <w:rFonts w:cs="Times New Roman;Times New Roman" w:ascii="Times New Roman;Times New Roman" w:hAnsi="Times New Roman;Times New Roman"/>
          <w:b/>
          <w:sz w:val="24"/>
        </w:rPr>
      </w:r>
    </w:p>
    <w:p>
      <w:pPr>
        <w:pStyle w:val="Normal"/>
        <w:rPr>
          <w:rFonts w:ascii="Times New Roman;Times New Roman" w:hAnsi="Times New Roman;Times New Roman" w:cs="Times New Roman;Times New Roman"/>
          <w:b/>
          <w:sz w:val="24"/>
        </w:rPr>
      </w:pPr>
      <w:r>
        <w:rPr>
          <w:rFonts w:cs="Times New Roman;Times New Roman" w:ascii="Times New Roman;Times New Roman" w:hAnsi="Times New Roman;Times New Roman"/>
          <w:b/>
          <w:sz w:val="24"/>
        </w:rPr>
      </w:r>
    </w:p>
    <w:p>
      <w:pPr>
        <w:pStyle w:val="Normal"/>
        <w:rPr>
          <w:rFonts w:ascii="Times New Roman;Times New Roman" w:hAnsi="Times New Roman;Times New Roman" w:cs="Times New Roman;Times New Roman"/>
          <w:b/>
          <w:sz w:val="24"/>
        </w:rPr>
      </w:pPr>
      <w:r>
        <w:rPr>
          <w:rFonts w:cs="Times New Roman;Times New Roman" w:ascii="Times New Roman;Times New Roman" w:hAnsi="Times New Roman;Times New Roman"/>
          <w:b/>
          <w:sz w:val="24"/>
        </w:rPr>
      </w:r>
    </w:p>
    <w:tbl>
      <w:tblPr>
        <w:tblW w:w="5130" w:type="dxa"/>
        <w:jc w:val="start"/>
        <w:tblInd w:w="4338" w:type="dxa"/>
        <w:tblLayout w:type="fixed"/>
        <w:tblCellMar>
          <w:top w:w="0" w:type="dxa"/>
          <w:start w:w="108" w:type="dxa"/>
          <w:bottom w:w="0" w:type="dxa"/>
          <w:end w:w="108" w:type="dxa"/>
        </w:tblCellMar>
      </w:tblPr>
      <w:tblGrid>
        <w:gridCol w:w="1080"/>
        <w:gridCol w:w="4050"/>
      </w:tblGrid>
      <w:tr>
        <w:trPr/>
        <w:tc>
          <w:tcPr>
            <w:tcW w:w="1080" w:type="dxa"/>
            <w:tcBorders/>
          </w:tcPr>
          <w:p>
            <w:pPr>
              <w:pStyle w:val="Normal"/>
              <w:rPr>
                <w:rFonts w:ascii="Times New Roman;Times New Roman" w:hAnsi="Times New Roman;Times New Roman" w:cs="Times New Roman;Times New Roman"/>
                <w:sz w:val="24"/>
              </w:rPr>
            </w:pPr>
            <w:r>
              <w:rPr>
                <w:rFonts w:cs="Times New Roman;Times New Roman" w:ascii="Times New Roman;Times New Roman" w:hAnsi="Times New Roman;Times New Roman"/>
                <w:sz w:val="24"/>
              </w:rPr>
              <w:t>By:</w:t>
            </w:r>
          </w:p>
        </w:tc>
        <w:tc>
          <w:tcPr>
            <w:tcW w:w="4050" w:type="dxa"/>
            <w:tcBorders>
              <w:bottom w:val="single" w:sz="6" w:space="0" w:color="000000"/>
            </w:tcBorders>
          </w:tcPr>
          <w:p>
            <w:pPr>
              <w:pStyle w:val="Normal"/>
              <w:snapToGrid w:val="false"/>
              <w:rPr>
                <w:rFonts w:ascii="Times New Roman;Times New Roman" w:hAnsi="Times New Roman;Times New Roman" w:cs="Times New Roman;Times New Roman"/>
                <w:sz w:val="24"/>
              </w:rPr>
            </w:pPr>
            <w:r>
              <w:rPr>
                <w:rFonts w:cs="Times New Roman;Times New Roman" w:ascii="Times New Roman;Times New Roman" w:hAnsi="Times New Roman;Times New Roman"/>
                <w:sz w:val="24"/>
              </w:rPr>
            </w:r>
          </w:p>
        </w:tc>
      </w:tr>
      <w:tr>
        <w:trPr/>
        <w:tc>
          <w:tcPr>
            <w:tcW w:w="1080" w:type="dxa"/>
            <w:tcBorders/>
          </w:tcPr>
          <w:p>
            <w:pPr>
              <w:pStyle w:val="Normal"/>
              <w:rPr>
                <w:rFonts w:ascii="Times New Roman;Times New Roman" w:hAnsi="Times New Roman;Times New Roman" w:cs="Times New Roman;Times New Roman"/>
                <w:sz w:val="24"/>
              </w:rPr>
            </w:pPr>
            <w:r>
              <w:rPr>
                <w:rFonts w:cs="Times New Roman;Times New Roman" w:ascii="Times New Roman;Times New Roman" w:hAnsi="Times New Roman;Times New Roman"/>
                <w:sz w:val="24"/>
              </w:rPr>
              <w:t>Name:</w:t>
            </w:r>
          </w:p>
        </w:tc>
        <w:tc>
          <w:tcPr>
            <w:tcW w:w="4050" w:type="dxa"/>
            <w:tcBorders>
              <w:bottom w:val="single" w:sz="6" w:space="0" w:color="000000"/>
            </w:tcBorders>
          </w:tcPr>
          <w:p>
            <w:pPr>
              <w:pStyle w:val="Normal"/>
              <w:rPr>
                <w:rFonts w:ascii="Times New Roman;Times New Roman" w:hAnsi="Times New Roman;Times New Roman" w:cs="Times New Roman;Times New Roman"/>
                <w:sz w:val="24"/>
              </w:rPr>
            </w:pPr>
            <w:r>
              <w:rPr>
                <w:rFonts w:cs="Times New Roman;Times New Roman" w:ascii="Times New Roman;Times New Roman" w:hAnsi="Times New Roman;Times New Roman"/>
                <w:sz w:val="24"/>
              </w:rPr>
              <w:t>Mario Max Yzaguirre</w:t>
            </w:r>
          </w:p>
        </w:tc>
      </w:tr>
      <w:tr>
        <w:trPr/>
        <w:tc>
          <w:tcPr>
            <w:tcW w:w="1080" w:type="dxa"/>
            <w:tcBorders/>
          </w:tcPr>
          <w:p>
            <w:pPr>
              <w:pStyle w:val="Normal"/>
              <w:rPr>
                <w:rFonts w:ascii="Times New Roman;Times New Roman" w:hAnsi="Times New Roman;Times New Roman" w:cs="Times New Roman;Times New Roman"/>
                <w:sz w:val="24"/>
              </w:rPr>
            </w:pPr>
            <w:r>
              <w:rPr>
                <w:rFonts w:cs="Times New Roman;Times New Roman" w:ascii="Times New Roman;Times New Roman" w:hAnsi="Times New Roman;Times New Roman"/>
                <w:sz w:val="24"/>
              </w:rPr>
              <w:t>Title:</w:t>
            </w:r>
          </w:p>
        </w:tc>
        <w:tc>
          <w:tcPr>
            <w:tcW w:w="4050" w:type="dxa"/>
            <w:tcBorders>
              <w:bottom w:val="single" w:sz="6" w:space="0" w:color="000000"/>
            </w:tcBorders>
          </w:tcPr>
          <w:p>
            <w:pPr>
              <w:pStyle w:val="Normal"/>
              <w:rPr>
                <w:rFonts w:ascii="Times New Roman;Times New Roman" w:hAnsi="Times New Roman;Times New Roman" w:cs="Times New Roman;Times New Roman"/>
                <w:sz w:val="24"/>
              </w:rPr>
            </w:pPr>
            <w:r>
              <w:rPr>
                <w:rFonts w:cs="Times New Roman;Times New Roman" w:ascii="Times New Roman;Times New Roman" w:hAnsi="Times New Roman;Times New Roman"/>
                <w:sz w:val="24"/>
              </w:rPr>
              <w:t>President</w:t>
            </w:r>
          </w:p>
        </w:tc>
      </w:tr>
    </w:tbl>
    <w:p>
      <w:pPr>
        <w:pStyle w:val="Normal"/>
        <w:rPr>
          <w:rFonts w:ascii="Times New Roman;Times New Roman" w:hAnsi="Times New Roman;Times New Roman" w:cs="Times New Roman;Times New Roman"/>
          <w:sz w:val="24"/>
        </w:rPr>
      </w:pPr>
      <w:r>
        <w:rPr>
          <w:rFonts w:cs="Times New Roman;Times New Roman" w:ascii="Times New Roman;Times New Roman" w:hAnsi="Times New Roman;Times New Roman"/>
          <w:sz w:val="24"/>
        </w:rPr>
      </w:r>
    </w:p>
    <w:p>
      <w:pPr>
        <w:pStyle w:val="Normal"/>
        <w:rPr>
          <w:rFonts w:ascii="Times New Roman Bold" w:hAnsi="Times New Roman Bold" w:cs="Times New Roman Bold"/>
          <w:caps/>
          <w:sz w:val="24"/>
        </w:rPr>
      </w:pPr>
      <w:r>
        <w:rPr>
          <w:rFonts w:cs="Times New Roman;Times New Roman" w:ascii="Times New Roman;Times New Roman" w:hAnsi="Times New Roman;Times New Roman"/>
          <w:sz w:val="24"/>
        </w:rPr>
        <w:tab/>
        <w:tab/>
        <w:tab/>
        <w:tab/>
        <w:tab/>
      </w:r>
      <w:r>
        <w:rPr>
          <w:rFonts w:cs="Times New Roman Bold" w:ascii="Times New Roman Bold" w:hAnsi="Times New Roman Bold"/>
          <w:b/>
          <w:caps/>
          <w:sz w:val="24"/>
        </w:rPr>
        <w:t>Copamex, S. A. DE C.V.</w:t>
      </w:r>
    </w:p>
    <w:p>
      <w:pPr>
        <w:pStyle w:val="Normal"/>
        <w:rPr>
          <w:rFonts w:ascii="Times New Roman;Times New Roman" w:hAnsi="Times New Roman;Times New Roman" w:cs="Times New Roman;Times New Roman"/>
          <w:caps/>
          <w:sz w:val="24"/>
        </w:rPr>
      </w:pPr>
      <w:r>
        <w:rPr>
          <w:rFonts w:cs="Times New Roman;Times New Roman" w:ascii="Times New Roman;Times New Roman" w:hAnsi="Times New Roman;Times New Roman"/>
          <w:caps/>
          <w:sz w:val="24"/>
        </w:rPr>
      </w:r>
    </w:p>
    <w:tbl>
      <w:tblPr>
        <w:tblW w:w="5130" w:type="dxa"/>
        <w:jc w:val="start"/>
        <w:tblInd w:w="4338" w:type="dxa"/>
        <w:tblLayout w:type="fixed"/>
        <w:tblCellMar>
          <w:top w:w="0" w:type="dxa"/>
          <w:start w:w="108" w:type="dxa"/>
          <w:bottom w:w="0" w:type="dxa"/>
          <w:end w:w="108" w:type="dxa"/>
        </w:tblCellMar>
      </w:tblPr>
      <w:tblGrid>
        <w:gridCol w:w="1080"/>
        <w:gridCol w:w="4050"/>
      </w:tblGrid>
      <w:tr>
        <w:trPr/>
        <w:tc>
          <w:tcPr>
            <w:tcW w:w="1080" w:type="dxa"/>
            <w:tcBorders/>
          </w:tcPr>
          <w:p>
            <w:pPr>
              <w:pStyle w:val="Normal"/>
              <w:rPr>
                <w:rFonts w:ascii="Times New Roman;Times New Roman" w:hAnsi="Times New Roman;Times New Roman" w:cs="Times New Roman;Times New Roman"/>
                <w:sz w:val="24"/>
              </w:rPr>
            </w:pPr>
            <w:r>
              <w:rPr>
                <w:rFonts w:cs="Times New Roman;Times New Roman" w:ascii="Times New Roman;Times New Roman" w:hAnsi="Times New Roman;Times New Roman"/>
                <w:sz w:val="24"/>
              </w:rPr>
              <w:t>By:</w:t>
            </w:r>
          </w:p>
        </w:tc>
        <w:tc>
          <w:tcPr>
            <w:tcW w:w="4050" w:type="dxa"/>
            <w:tcBorders/>
          </w:tcPr>
          <w:p>
            <w:pPr>
              <w:pStyle w:val="Normal"/>
              <w:snapToGrid w:val="false"/>
              <w:rPr>
                <w:rFonts w:ascii="Times New Roman;Times New Roman" w:hAnsi="Times New Roman;Times New Roman" w:cs="Times New Roman;Times New Roman"/>
                <w:sz w:val="24"/>
              </w:rPr>
            </w:pPr>
            <w:r>
              <w:rPr>
                <w:rFonts w:cs="Times New Roman;Times New Roman" w:ascii="Times New Roman;Times New Roman" w:hAnsi="Times New Roman;Times New Roman"/>
                <w:sz w:val="24"/>
              </w:rPr>
            </w:r>
          </w:p>
        </w:tc>
      </w:tr>
      <w:tr>
        <w:trPr/>
        <w:tc>
          <w:tcPr>
            <w:tcW w:w="1080" w:type="dxa"/>
            <w:tcBorders/>
          </w:tcPr>
          <w:p>
            <w:pPr>
              <w:pStyle w:val="Normal"/>
              <w:rPr>
                <w:rFonts w:ascii="Times New Roman;Times New Roman" w:hAnsi="Times New Roman;Times New Roman" w:cs="Times New Roman;Times New Roman"/>
                <w:sz w:val="24"/>
              </w:rPr>
            </w:pPr>
            <w:r>
              <w:rPr>
                <w:rFonts w:cs="Times New Roman;Times New Roman" w:ascii="Times New Roman;Times New Roman" w:hAnsi="Times New Roman;Times New Roman"/>
                <w:sz w:val="24"/>
              </w:rPr>
              <w:t>Name:</w:t>
            </w:r>
          </w:p>
        </w:tc>
        <w:tc>
          <w:tcPr>
            <w:tcW w:w="4050" w:type="dxa"/>
            <w:tcBorders>
              <w:top w:val="single" w:sz="6" w:space="0" w:color="000000"/>
            </w:tcBorders>
          </w:tcPr>
          <w:p>
            <w:pPr>
              <w:pStyle w:val="Normal"/>
              <w:snapToGrid w:val="false"/>
              <w:rPr>
                <w:rFonts w:ascii="Times New Roman;Times New Roman" w:hAnsi="Times New Roman;Times New Roman" w:cs="Times New Roman;Times New Roman"/>
                <w:sz w:val="24"/>
              </w:rPr>
            </w:pPr>
            <w:r>
              <w:rPr>
                <w:rFonts w:cs="Times New Roman;Times New Roman" w:ascii="Times New Roman;Times New Roman" w:hAnsi="Times New Roman;Times New Roman"/>
                <w:sz w:val="24"/>
              </w:rPr>
            </w:r>
          </w:p>
        </w:tc>
      </w:tr>
      <w:tr>
        <w:trPr/>
        <w:tc>
          <w:tcPr>
            <w:tcW w:w="1080" w:type="dxa"/>
            <w:tcBorders/>
          </w:tcPr>
          <w:p>
            <w:pPr>
              <w:pStyle w:val="Normal"/>
              <w:rPr>
                <w:rFonts w:ascii="Times New Roman;Times New Roman" w:hAnsi="Times New Roman;Times New Roman" w:cs="Times New Roman;Times New Roman"/>
                <w:sz w:val="24"/>
                <w:u w:val="single"/>
              </w:rPr>
            </w:pPr>
            <w:r>
              <w:rPr>
                <w:rFonts w:cs="Times New Roman;Times New Roman" w:ascii="Times New Roman;Times New Roman" w:hAnsi="Times New Roman;Times New Roman"/>
                <w:sz w:val="24"/>
              </w:rPr>
              <w:t>Title:</w:t>
            </w:r>
          </w:p>
        </w:tc>
        <w:tc>
          <w:tcPr>
            <w:tcW w:w="4050" w:type="dxa"/>
            <w:tcBorders>
              <w:top w:val="single" w:sz="6" w:space="0" w:color="000000"/>
              <w:bottom w:val="single" w:sz="6" w:space="0" w:color="000000"/>
            </w:tcBorders>
          </w:tcPr>
          <w:p>
            <w:pPr>
              <w:pStyle w:val="Normal"/>
              <w:snapToGrid w:val="false"/>
              <w:rPr>
                <w:rFonts w:ascii="Times New Roman;Times New Roman" w:hAnsi="Times New Roman;Times New Roman" w:cs="Times New Roman;Times New Roman"/>
                <w:sz w:val="24"/>
                <w:u w:val="single"/>
              </w:rPr>
            </w:pPr>
            <w:r>
              <w:rPr>
                <w:rFonts w:cs="Times New Roman;Times New Roman" w:ascii="Times New Roman;Times New Roman" w:hAnsi="Times New Roman;Times New Roman"/>
                <w:sz w:val="24"/>
                <w:u w:val="single"/>
              </w:rPr>
            </w:r>
          </w:p>
        </w:tc>
      </w:tr>
    </w:tbl>
    <w:p>
      <w:pPr>
        <w:pStyle w:val="Footer"/>
        <w:tabs>
          <w:tab w:val="clear" w:pos="4320"/>
          <w:tab w:val="clear" w:pos="8640"/>
        </w:tabs>
        <w:rPr/>
      </w:pPr>
      <w:r>
        <w:rPr/>
      </w:r>
    </w:p>
    <w:p>
      <w:pPr>
        <w:sectPr>
          <w:headerReference w:type="default" r:id="rId2"/>
          <w:headerReference w:type="first" r:id="rId3"/>
          <w:footerReference w:type="default" r:id="rId4"/>
          <w:footerReference w:type="first" r:id="rId5"/>
          <w:type w:val="nextPage"/>
          <w:pgSz w:w="12240" w:h="15840"/>
          <w:pgMar w:left="1440" w:right="1440" w:gutter="0" w:header="720" w:top="776" w:footer="1440" w:bottom="1496"/>
          <w:pgNumType w:start="1" w:fmt="decimal"/>
          <w:formProt w:val="false"/>
          <w:titlePg/>
          <w:textDirection w:val="lrTb"/>
          <w:docGrid w:type="default" w:linePitch="360" w:charSpace="0"/>
        </w:sectPr>
        <w:pStyle w:val="Footer"/>
        <w:tabs>
          <w:tab w:val="clear" w:pos="4320"/>
          <w:tab w:val="clear" w:pos="8640"/>
        </w:tabs>
        <w:rPr/>
      </w:pPr>
      <w:r>
        <w:rPr/>
      </w:r>
    </w:p>
    <w:p>
      <w:pPr>
        <w:pStyle w:val="Heading"/>
        <w:rPr/>
      </w:pPr>
      <w:r>
        <w:rPr/>
        <w:t>ANNEX 1</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t>Capitalized terms used but not defined in this Annex 1 shall have the meanings given to such terms in the MOU.</w:t>
      </w:r>
    </w:p>
    <w:p>
      <w:pPr>
        <w:pStyle w:val="Normal"/>
        <w:jc w:val="both"/>
        <w:rPr>
          <w:sz w:val="24"/>
        </w:rPr>
      </w:pPr>
      <w:r>
        <w:rPr>
          <w:sz w:val="24"/>
        </w:rPr>
      </w:r>
    </w:p>
    <w:p>
      <w:pPr>
        <w:pStyle w:val="Normal"/>
        <w:numPr>
          <w:ilvl w:val="0"/>
          <w:numId w:val="3"/>
        </w:numPr>
        <w:jc w:val="both"/>
        <w:rPr>
          <w:sz w:val="24"/>
        </w:rPr>
      </w:pPr>
      <w:r>
        <w:rPr>
          <w:sz w:val="24"/>
          <w:u w:val="single"/>
        </w:rPr>
        <w:t>Planned Power Plant Capacity</w:t>
      </w:r>
      <w:r>
        <w:rPr>
          <w:sz w:val="24"/>
        </w:rPr>
        <w:t>:  Approximately 51 MW of electric power and 91 metric tonnes of steam per hour</w:t>
      </w:r>
    </w:p>
    <w:p>
      <w:pPr>
        <w:pStyle w:val="Normal"/>
        <w:numPr>
          <w:ilvl w:val="0"/>
          <w:numId w:val="3"/>
        </w:numPr>
        <w:jc w:val="both"/>
        <w:rPr>
          <w:sz w:val="24"/>
        </w:rPr>
      </w:pPr>
      <w:r>
        <w:rPr>
          <w:sz w:val="24"/>
          <w:u w:val="single"/>
        </w:rPr>
        <w:t>Expected Copamex Power Plant Offtake</w:t>
      </w:r>
      <w:r>
        <w:rPr>
          <w:sz w:val="24"/>
        </w:rPr>
        <w:t>:  51 MW of electric power and up to 91 metric tonnes of steam per hour</w:t>
      </w:r>
    </w:p>
    <w:p>
      <w:pPr>
        <w:pStyle w:val="Normal"/>
        <w:numPr>
          <w:ilvl w:val="0"/>
          <w:numId w:val="3"/>
        </w:numPr>
        <w:jc w:val="both"/>
        <w:rPr>
          <w:sz w:val="24"/>
        </w:rPr>
      </w:pPr>
      <w:r>
        <w:rPr>
          <w:sz w:val="24"/>
          <w:u w:val="single"/>
        </w:rPr>
        <w:t>Targeted Commercial Operation Date</w:t>
      </w:r>
      <w:r>
        <w:rPr>
          <w:sz w:val="24"/>
        </w:rPr>
        <w:t>: July 2002</w:t>
      </w:r>
    </w:p>
    <w:p>
      <w:pPr>
        <w:pStyle w:val="Normal"/>
        <w:numPr>
          <w:ilvl w:val="0"/>
          <w:numId w:val="3"/>
        </w:numPr>
        <w:jc w:val="both"/>
        <w:rPr>
          <w:sz w:val="24"/>
        </w:rPr>
      </w:pPr>
      <w:r>
        <w:rPr>
          <w:sz w:val="24"/>
          <w:u w:val="single"/>
        </w:rPr>
        <w:t>Planned Fuel Type</w:t>
      </w:r>
      <w:r>
        <w:rPr>
          <w:sz w:val="24"/>
        </w:rPr>
        <w:t>:  Natural Gas</w:t>
      </w:r>
    </w:p>
    <w:p>
      <w:pPr>
        <w:pStyle w:val="Normal"/>
        <w:numPr>
          <w:ilvl w:val="0"/>
          <w:numId w:val="3"/>
        </w:numPr>
        <w:jc w:val="both"/>
        <w:rPr>
          <w:sz w:val="24"/>
        </w:rPr>
      </w:pPr>
      <w:r>
        <w:rPr>
          <w:sz w:val="24"/>
          <w:u w:val="single"/>
        </w:rPr>
        <w:t>Expected Copamex Electric Power Load Factor</w:t>
      </w:r>
      <w:r>
        <w:rPr>
          <w:sz w:val="24"/>
        </w:rPr>
        <w:t>: 86%</w:t>
      </w:r>
    </w:p>
    <w:p>
      <w:pPr>
        <w:pStyle w:val="Normal"/>
        <w:numPr>
          <w:ilvl w:val="0"/>
          <w:numId w:val="3"/>
        </w:numPr>
        <w:jc w:val="both"/>
        <w:rPr>
          <w:sz w:val="24"/>
        </w:rPr>
      </w:pPr>
      <w:r>
        <w:rPr>
          <w:sz w:val="24"/>
          <w:u w:val="single"/>
        </w:rPr>
        <w:t>Expected Plant Availability</w:t>
      </w:r>
      <w:r>
        <w:rPr>
          <w:sz w:val="24"/>
        </w:rPr>
        <w:t>: 93%</w:t>
      </w:r>
    </w:p>
    <w:p>
      <w:pPr>
        <w:pStyle w:val="Normal"/>
        <w:numPr>
          <w:ilvl w:val="0"/>
          <w:numId w:val="3"/>
        </w:numPr>
        <w:jc w:val="both"/>
        <w:rPr>
          <w:sz w:val="24"/>
        </w:rPr>
      </w:pPr>
      <w:r>
        <w:rPr>
          <w:sz w:val="24"/>
          <w:u w:val="single"/>
        </w:rPr>
        <w:t>Planned Debt Financing</w:t>
      </w:r>
      <w:r>
        <w:rPr>
          <w:sz w:val="24"/>
        </w:rPr>
        <w:t>:  It is expected that the debt financing for the Project will be internationally-sourced project financing that is nonrecourse to the Parties.</w:t>
      </w:r>
    </w:p>
    <w:p>
      <w:pPr>
        <w:pStyle w:val="Normal"/>
        <w:numPr>
          <w:ilvl w:val="0"/>
          <w:numId w:val="3"/>
        </w:numPr>
        <w:jc w:val="both"/>
        <w:rPr>
          <w:sz w:val="24"/>
        </w:rPr>
      </w:pPr>
      <w:r>
        <w:rPr>
          <w:sz w:val="24"/>
          <w:u w:val="single"/>
        </w:rPr>
        <w:t>Expected PPA Provisions</w:t>
      </w:r>
      <w:r>
        <w:rPr>
          <w:sz w:val="24"/>
        </w:rPr>
        <w:t>:  It is expected that the Power Purchase Agreement will have a 15 year term and will contain provisions that are customary for a project of this type and that, in the opinion of EDM, will support an internationally-sourced project financing.</w:t>
      </w:r>
    </w:p>
    <w:p>
      <w:pPr>
        <w:pStyle w:val="Normal"/>
        <w:numPr>
          <w:ilvl w:val="0"/>
          <w:numId w:val="3"/>
        </w:numPr>
        <w:jc w:val="both"/>
        <w:rPr>
          <w:sz w:val="24"/>
        </w:rPr>
      </w:pPr>
      <w:r>
        <w:rPr>
          <w:sz w:val="24"/>
          <w:u w:val="single"/>
        </w:rPr>
        <w:t>EDM’s Activities</w:t>
      </w:r>
      <w:r>
        <w:rPr>
          <w:sz w:val="24"/>
        </w:rPr>
        <w:t>:  It is expected that EDM’s activities will include (a) collecting the site-specific information (such as site survey, title, environmental and geotechnical data) that will be required for the technical and financial feasibility of the Project, (b) acting as liaison with the relevant Federal, State and local authorities and agencies for the purpose of obtaining all necessary governmental permits, approvals and exemptions (such as environmental, zoning, land use, importation and tax) necessary for the Project, (c) negotiating a Power Purchase Agreement, Steam Sales Agreement and related agreements with Copamex, (d) negotiating fuel supply and transportation agreements for the Project, (e) arranging for the necessary financing for the Project, (f) providing technical (including engineering, procurement and construction) and operational expertise for the Project, (g) participating in negotiations with the lenders to the Project, and (h) to the extent requested by Copamex, cooperating with and assisting Copamex relative to Copamex’s activities that are described below.</w:t>
      </w:r>
    </w:p>
    <w:p>
      <w:pPr>
        <w:pStyle w:val="Normal"/>
        <w:numPr>
          <w:ilvl w:val="0"/>
          <w:numId w:val="2"/>
        </w:numPr>
        <w:jc w:val="both"/>
        <w:rPr>
          <w:u w:val="single"/>
        </w:rPr>
      </w:pPr>
      <w:r>
        <w:rPr>
          <w:sz w:val="24"/>
          <w:u w:val="single"/>
        </w:rPr>
        <w:t>Copamex’s Activities</w:t>
      </w:r>
      <w:r>
        <w:rPr>
          <w:sz w:val="24"/>
        </w:rPr>
        <w:t>:  It is expected that Copamex’s activities will include (a) providing the land that will serve as the site for the Project and (b) to the extent requested by EDM, cooperate with and assist EDM relative to EDM’s activities that are described above.</w:t>
      </w:r>
    </w:p>
    <w:p>
      <w:pPr>
        <w:pStyle w:val="Footer"/>
        <w:tabs>
          <w:tab w:val="clear" w:pos="4320"/>
          <w:tab w:val="clear" w:pos="8640"/>
        </w:tabs>
        <w:rPr>
          <w:u w:val="single"/>
        </w:rPr>
      </w:pPr>
      <w:r>
        <w:rPr>
          <w:u w:val="single"/>
        </w:rPr>
      </w:r>
    </w:p>
    <w:sectPr>
      <w:headerReference w:type="default" r:id="rId6"/>
      <w:headerReference w:type="first" r:id="rId7"/>
      <w:footerReference w:type="default" r:id="rId8"/>
      <w:footerReference w:type="first" r:id="rId9"/>
      <w:type w:val="nextPage"/>
      <w:pgSz w:w="12240" w:h="15840"/>
      <w:pgMar w:left="1440" w:right="1440" w:gutter="0" w:header="720" w:top="776" w:footer="1440" w:bottom="1496"/>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1)">
    <w:altName w:val="Times New Roman"/>
    <w:charset w:val="00" w:characterSet="windows-1252"/>
    <w:family w:val="roman"/>
    <w:pitch w:val="variable"/>
  </w:font>
  <w:font w:name="Times New Roman">
    <w:charset w:val="00" w:characterSet="windows-1252"/>
    <w:family w:val="roman"/>
    <w:pitch w:val="variable"/>
  </w:font>
  <w:font w:name="Times New Roman Bold">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b/>
        <w:sz w:val="16"/>
      </w:rPr>
    </w:pPr>
    <w:r>
      <w:rPr>
        <w:b/>
        <w:sz w:val="16"/>
      </w:rPr>
      <w:t>MEMORANDUM OF UNDERSTANDING</w:t>
      <w:tab/>
    </w:r>
    <w:r>
      <w:rPr>
        <w:rStyle w:val="PageNumber"/>
        <w:b/>
        <w:sz w:val="16"/>
      </w:rPr>
      <w:fldChar w:fldCharType="begin"/>
    </w:r>
    <w:r>
      <w:rPr>
        <w:rStyle w:val="PageNumber"/>
        <w:sz w:val="16"/>
        <w:b/>
      </w:rPr>
      <w:instrText xml:space="preserve"> PAGE </w:instrText>
    </w:r>
    <w:r>
      <w:rPr>
        <w:rStyle w:val="PageNumber"/>
        <w:sz w:val="16"/>
        <w:b/>
      </w:rPr>
      <w:fldChar w:fldCharType="separate"/>
    </w:r>
    <w:r>
      <w:rPr>
        <w:rStyle w:val="PageNumber"/>
        <w:sz w:val="16"/>
        <w:b/>
      </w:rPr>
      <w:t>5</w:t>
    </w:r>
    <w:r>
      <w:rPr>
        <w:rStyle w:val="PageNumber"/>
        <w:sz w:val="16"/>
        <w:b/>
      </w:rPr>
      <w:fldChar w:fldCharType="end"/>
    </w:r>
    <w:r>
      <w:rPr>
        <w:rStyle w:val="PageNumber"/>
      </w:rPr>
      <w:tab/>
    </w:r>
    <w:r>
      <w:rPr>
        <w:rStyle w:val="PageNumber"/>
        <w:b/>
        <w:sz w:val="16"/>
      </w:rPr>
      <w:t>CONFIDENTIAL</w:t>
    </w:r>
  </w:p>
  <w:p>
    <w:pPr>
      <w:pStyle w:val="Footer"/>
      <w:rPr>
        <w:b/>
        <w:sz w:val="16"/>
      </w:rPr>
    </w:pPr>
    <w:r>
      <w:rPr>
        <w:b/>
        <w:sz w:val="16"/>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b/>
        <w:sz w:val="16"/>
      </w:rPr>
      <w:t>MEMORANDUM OF UNDERSTANDING</w:t>
      <w:tab/>
    </w:r>
    <w:r>
      <w:rPr>
        <w:rStyle w:val="PageNumber"/>
        <w:b/>
        <w:sz w:val="16"/>
      </w:rPr>
      <w:fldChar w:fldCharType="begin"/>
    </w:r>
    <w:r>
      <w:rPr>
        <w:rStyle w:val="PageNumber"/>
        <w:sz w:val="16"/>
        <w:b/>
      </w:rPr>
      <w:instrText xml:space="preserve"> PAGE </w:instrText>
    </w:r>
    <w:r>
      <w:rPr>
        <w:rStyle w:val="PageNumber"/>
        <w:sz w:val="16"/>
        <w:b/>
      </w:rPr>
      <w:fldChar w:fldCharType="separate"/>
    </w:r>
    <w:r>
      <w:rPr>
        <w:rStyle w:val="PageNumber"/>
        <w:sz w:val="16"/>
        <w:b/>
      </w:rPr>
      <w:t>1</w:t>
    </w:r>
    <w:r>
      <w:rPr>
        <w:rStyle w:val="PageNumber"/>
        <w:sz w:val="16"/>
        <w:b/>
      </w:rPr>
      <w:fldChar w:fldCharType="end"/>
    </w:r>
    <w:r>
      <w:rPr>
        <w:rStyle w:val="PageNumber"/>
      </w:rPr>
      <w:tab/>
    </w:r>
    <w:r>
      <w:rPr>
        <w:rStyle w:val="PageNumber"/>
        <w:b/>
        <w:sz w:val="16"/>
      </w:rPr>
      <w:t>CONFIDENTIAL</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b/>
        <w:sz w:val="16"/>
      </w:rPr>
    </w:pPr>
    <w:r>
      <w:rPr>
        <w:b/>
        <w:sz w:val="16"/>
      </w:rPr>
      <w:t>TERM SHEET</w:t>
      <w:tab/>
    </w:r>
    <w:r>
      <w:rPr>
        <w:rStyle w:val="PageNumber"/>
        <w:b/>
      </w:rPr>
      <w:fldChar w:fldCharType="begin"/>
    </w:r>
    <w:r>
      <w:rPr>
        <w:rStyle w:val="PageNumber"/>
        <w:b/>
      </w:rPr>
      <w:instrText xml:space="preserve"> PAGE </w:instrText>
    </w:r>
    <w:r>
      <w:rPr>
        <w:rStyle w:val="PageNumber"/>
        <w:b/>
      </w:rPr>
      <w:fldChar w:fldCharType="separate"/>
    </w:r>
    <w:r>
      <w:rPr>
        <w:rStyle w:val="PageNumber"/>
        <w:b/>
      </w:rPr>
      <w:t>0</w:t>
    </w:r>
    <w:r>
      <w:rPr>
        <w:rStyle w:val="PageNumber"/>
        <w:b/>
      </w:rPr>
      <w:fldChar w:fldCharType="end"/>
    </w:r>
    <w:r>
      <w:rPr>
        <w:rStyle w:val="PageNumber"/>
        <w:b/>
      </w:rPr>
      <w:tab/>
      <w:t>CONFIDENTIAL</w:t>
    </w:r>
  </w:p>
  <w:p>
    <w:pPr>
      <w:pStyle w:val="Footer"/>
      <w:rPr>
        <w:b/>
        <w:sz w:val="16"/>
      </w:rPr>
    </w:pPr>
    <w:r>
      <w:rPr>
        <w:b/>
        <w:sz w:val="16"/>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b/>
        <w:sz w:val="16"/>
      </w:rPr>
      <w:t>TERM SHEET</w:t>
      <w:tab/>
    </w:r>
    <w:r>
      <w:rPr>
        <w:rStyle w:val="PageNumber"/>
        <w:b/>
      </w:rPr>
      <w:fldChar w:fldCharType="begin"/>
    </w:r>
    <w:r>
      <w:rPr>
        <w:rStyle w:val="PageNumber"/>
        <w:b/>
      </w:rPr>
      <w:instrText xml:space="preserve"> PAGE </w:instrText>
    </w:r>
    <w:r>
      <w:rPr>
        <w:rStyle w:val="PageNumber"/>
        <w:b/>
      </w:rPr>
      <w:fldChar w:fldCharType="separate"/>
    </w:r>
    <w:r>
      <w:rPr>
        <w:rStyle w:val="PageNumber"/>
        <w:b/>
      </w:rPr>
      <w:t>1</w:t>
    </w:r>
    <w:r>
      <w:rPr>
        <w:rStyle w:val="PageNumber"/>
        <w:b/>
      </w:rPr>
      <w:fldChar w:fldCharType="end"/>
    </w:r>
    <w:r>
      <w:rPr>
        <w:rStyle w:val="PageNumber"/>
        <w:b/>
      </w:rPr>
      <w:tab/>
      <w:t>CONFIDENTIAL</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rPr/>
    </w:pPr>
    <w:r>
      <w:rPr/>
    </w:r>
  </w:p>
  <w:p>
    <w:pPr>
      <w:pStyle w:val="Header"/>
      <w:rPr/>
    </w:pPr>
    <w:r>
      <w:rPr/>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rPr/>
    </w:pPr>
    <w:r>
      <w:rPr/>
    </w:r>
  </w:p>
  <w:p>
    <w:pPr>
      <w:pStyle w:val="Header"/>
      <w:rPr/>
    </w:pPr>
    <w:r>
      <w:rPr/>
    </w:r>
  </w:p>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revisionView w:insDel="0" w:formatting="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G Times (W1);Times New Roman" w:hAnsi="CG Times (W1);Times New Roman" w:eastAsia="Times New Roman;Times New Roman" w:cs="CG Times (W1);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rFonts w:ascii="Times New Roman;Times New Roman" w:hAnsi="Times New Roman;Times New Roman" w:cs="Times New Roman;Times New Roman"/>
      <w:sz w:val="24"/>
    </w:rPr>
  </w:style>
  <w:style w:type="paragraph" w:styleId="Heading4">
    <w:name w:val="heading 4"/>
    <w:basedOn w:val="Normal"/>
    <w:next w:val="BodyText"/>
    <w:qFormat/>
    <w:pPr>
      <w:numPr>
        <w:ilvl w:val="3"/>
        <w:numId w:val="1"/>
      </w:numPr>
      <w:ind w:hanging="0" w:start="360" w:end="0"/>
      <w:outlineLvl w:val="3"/>
    </w:pPr>
    <w:rPr>
      <w:sz w:val="24"/>
      <w:u w:val="single"/>
    </w:rPr>
  </w:style>
  <w:style w:type="paragraph" w:styleId="Heading5">
    <w:name w:val="heading 5"/>
    <w:basedOn w:val="Normal"/>
    <w:next w:val="BodyText"/>
    <w:qFormat/>
    <w:pPr>
      <w:numPr>
        <w:ilvl w:val="4"/>
        <w:numId w:val="1"/>
      </w:numPr>
      <w:ind w:hanging="0" w:start="720" w:end="0"/>
      <w:outlineLvl w:val="4"/>
    </w:pPr>
    <w:rPr>
      <w:b/>
    </w:rPr>
  </w:style>
  <w:style w:type="paragraph" w:styleId="Heading6">
    <w:name w:val="heading 6"/>
    <w:basedOn w:val="Normal"/>
    <w:next w:val="BodyText"/>
    <w:qFormat/>
    <w:pPr>
      <w:numPr>
        <w:ilvl w:val="5"/>
        <w:numId w:val="1"/>
      </w:numPr>
      <w:ind w:hanging="0" w:start="720" w:end="0"/>
      <w:outlineLvl w:val="5"/>
    </w:pPr>
    <w:rPr>
      <w:u w:val="single"/>
    </w:rPr>
  </w:style>
  <w:style w:type="paragraph" w:styleId="Heading7">
    <w:name w:val="heading 7"/>
    <w:basedOn w:val="Normal"/>
    <w:next w:val="BodyText"/>
    <w:qFormat/>
    <w:pPr>
      <w:numPr>
        <w:ilvl w:val="6"/>
        <w:numId w:val="1"/>
      </w:numPr>
      <w:ind w:hanging="0" w:start="720" w:end="0"/>
      <w:outlineLvl w:val="6"/>
    </w:pPr>
    <w:rPr>
      <w:i/>
    </w:rPr>
  </w:style>
  <w:style w:type="paragraph" w:styleId="Heading8">
    <w:name w:val="heading 8"/>
    <w:basedOn w:val="Normal"/>
    <w:next w:val="BodyText"/>
    <w:qFormat/>
    <w:pPr>
      <w:numPr>
        <w:ilvl w:val="7"/>
        <w:numId w:val="1"/>
      </w:numPr>
      <w:ind w:hanging="0" w:start="720" w:end="0"/>
      <w:outlineLvl w:val="7"/>
    </w:pPr>
    <w:rPr>
      <w:i/>
    </w:rPr>
  </w:style>
  <w:style w:type="paragraph" w:styleId="Heading9">
    <w:name w:val="heading 9"/>
    <w:basedOn w:val="Normal"/>
    <w:next w:val="BodyText"/>
    <w:qFormat/>
    <w:pPr>
      <w:numPr>
        <w:ilvl w:val="8"/>
        <w:numId w:val="1"/>
      </w:numPr>
      <w:ind w:hanging="0" w:start="720" w:end="0"/>
      <w:outlineLvl w:val="8"/>
    </w:pPr>
    <w:rPr>
      <w:i/>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rFonts w:ascii="Symbol" w:hAnsi="Symbol" w:cs="Symbol"/>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rFonts w:ascii="Symbol" w:hAnsi="Symbol" w:cs="Symbol"/>
    </w:rPr>
  </w:style>
  <w:style w:type="character" w:styleId="WW8Num12z0">
    <w:name w:val="WW8Num12z0"/>
    <w:qFormat/>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paragraph" w:styleId="Heading">
    <w:name w:val="Heading"/>
    <w:basedOn w:val="Normal"/>
    <w:next w:val="BodyText"/>
    <w:qFormat/>
    <w:pPr>
      <w:jc w:val="center"/>
    </w:pPr>
    <w:rPr>
      <w:rFonts w:ascii="Times New Roman;Times New Roman" w:hAnsi="Times New Roman;Times New Roman" w:cs="Times New Roman;Times New Roman"/>
      <w:b/>
      <w:sz w:val="28"/>
      <w:u w:val="single"/>
    </w:rPr>
  </w:style>
  <w:style w:type="paragraph" w:styleId="BodyText">
    <w:name w:val="Body Text"/>
    <w:basedOn w:val="Normal"/>
    <w:pPr/>
    <w:rPr>
      <w:rFonts w:ascii="Times New Roman;Times New Roman" w:hAnsi="Times New Roman;Times New Roman" w:cs="Times New Roman;Times New Roman"/>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BodyTextIndent">
    <w:name w:val="Body Text Indent"/>
    <w:basedOn w:val="Normal"/>
    <w:pPr>
      <w:ind w:firstLine="720" w:start="0" w:end="0"/>
      <w:jc w:val="both"/>
    </w:pPr>
    <w:rPr>
      <w:rFonts w:ascii="Times New Roman;Times New Roman" w:hAnsi="Times New Roman;Times New Roman" w:cs="Times New Roman;Times New Roman"/>
      <w:sz w:val="24"/>
    </w:rPr>
  </w:style>
  <w:style w:type="paragraph" w:styleId="Subtitle">
    <w:name w:val="Subtitle"/>
    <w:basedOn w:val="Normal"/>
    <w:next w:val="BodyText"/>
    <w:qFormat/>
    <w:pPr>
      <w:jc w:val="center"/>
    </w:pPr>
    <w:rPr>
      <w:rFonts w:ascii="Times New Roman;Times New Roman" w:hAnsi="Times New Roman;Times New Roman" w:cs="Times New Roman;Times New Roman"/>
      <w:sz w:val="24"/>
    </w:rPr>
  </w:style>
  <w:style w:type="paragraph" w:styleId="BodyText2">
    <w:name w:val="Body Text 2"/>
    <w:basedOn w:val="Normal"/>
    <w:qFormat/>
    <w:pPr>
      <w:jc w:val="both"/>
    </w:pPr>
    <w:rPr>
      <w:rFonts w:ascii="Times New Roman;Times New Roman" w:hAnsi="Times New Roman;Times New Roman" w:cs="Times New Roman;Times New Roman"/>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2001-05-23T20:19:00Z</dcterms:created>
  <dc:creator>myzagui</dc:creator>
  <dc:description/>
  <dc:language>en-CA</dc:language>
  <cp:lastModifiedBy>csole</cp:lastModifiedBy>
  <cp:lastPrinted>2001-05-23T16:50:00Z</cp:lastPrinted>
  <dcterms:modified xsi:type="dcterms:W3CDTF">2001-05-23T20:24:00Z</dcterms:modified>
  <cp:revision>4</cp:revision>
  <dc:subject/>
  <dc:title>FORM OF</dc:title>
</cp:coreProperties>
</file>