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__ October 2001</w:t>
      </w:r>
    </w:p>
    <w:p>
      <w:pPr>
        <w:pStyle w:val="Normal"/>
        <w:jc w:val="center"/>
        <w:rPr>
          <w:sz w:val="36"/>
        </w:rPr>
      </w:pPr>
      <w:r>
        <w:rPr>
          <w:sz w:val="36"/>
        </w:rPr>
      </w:r>
    </w:p>
    <w:p>
      <w:pPr>
        <w:pStyle w:val="Normal"/>
        <w:jc w:val="center"/>
        <w:rPr>
          <w:sz w:val="36"/>
        </w:rPr>
      </w:pPr>
      <w:r>
        <w:rPr>
          <w:sz w:val="36"/>
        </w:rPr>
      </w:r>
    </w:p>
    <w:p>
      <w:pPr>
        <w:pStyle w:val="Normal"/>
        <w:jc w:val="center"/>
        <w:rPr>
          <w:sz w:val="32"/>
        </w:rPr>
      </w:pPr>
      <w:r>
        <w:rPr>
          <w:sz w:val="32"/>
        </w:rPr>
      </w:r>
    </w:p>
    <w:p>
      <w:pPr>
        <w:pStyle w:val="Normal"/>
        <w:jc w:val="center"/>
        <w:rPr>
          <w:sz w:val="32"/>
        </w:rPr>
      </w:pPr>
      <w:r>
        <w:rPr>
          <w:sz w:val="32"/>
        </w:rPr>
        <w:t>Enron Mauritius Company</w:t>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t>and</w:t>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t>Capital India Power Mauritius I</w:t>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t>and</w:t>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t>Energy Enterprises (Mauritius) Company</w:t>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t>and</w:t>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t>Industrial Development Bank of India,</w:t>
      </w:r>
    </w:p>
    <w:p>
      <w:pPr>
        <w:pStyle w:val="Normal"/>
        <w:jc w:val="center"/>
        <w:rPr>
          <w:sz w:val="32"/>
        </w:rPr>
      </w:pPr>
      <w:r>
        <w:rPr>
          <w:sz w:val="32"/>
        </w:rPr>
        <w:t>on behalf of itself and the other Rupee Lenders to the Project</w:t>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t>and</w:t>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t xml:space="preserve">The Ministry of Finance of the Government of India </w:t>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r>
    </w:p>
    <w:p>
      <w:pPr>
        <w:pStyle w:val="Normal"/>
        <w:jc w:val="center"/>
        <w:rPr>
          <w:sz w:val="32"/>
        </w:rPr>
      </w:pPr>
      <w:r>
        <w:rPr>
          <w:sz w:val="32"/>
        </w:rPr>
        <w:t>Memorandum of Understanding</w:t>
      </w:r>
      <w:r>
        <w:br w:type="page"/>
      </w:r>
    </w:p>
    <w:p>
      <w:pPr>
        <w:pStyle w:val="Normal"/>
        <w:jc w:val="center"/>
        <w:rPr/>
      </w:pPr>
      <w:r>
        <w:rPr/>
        <w:t>MEMORANDUM OF UNDERSTANDING</w:t>
      </w:r>
    </w:p>
    <w:p>
      <w:pPr>
        <w:pStyle w:val="Normal"/>
        <w:jc w:val="center"/>
        <w:rPr/>
      </w:pPr>
      <w:r>
        <w:rPr/>
      </w:r>
    </w:p>
    <w:p>
      <w:pPr>
        <w:pStyle w:val="Normal"/>
        <w:rPr/>
      </w:pPr>
      <w:r>
        <w:rPr/>
        <w:t>This Memorandum of Understanding (“MOU”) is made the ___ day of October 2001</w:t>
      </w:r>
    </w:p>
    <w:p>
      <w:pPr>
        <w:pStyle w:val="Normal"/>
        <w:rPr/>
      </w:pPr>
      <w:r>
        <w:rPr/>
      </w:r>
    </w:p>
    <w:p>
      <w:pPr>
        <w:pStyle w:val="Normal"/>
        <w:rPr/>
      </w:pPr>
      <w:r>
        <w:rPr/>
        <w:t>AMONG:</w:t>
      </w:r>
    </w:p>
    <w:p>
      <w:pPr>
        <w:pStyle w:val="Normal"/>
        <w:rPr/>
      </w:pPr>
      <w:r>
        <w:rPr/>
      </w:r>
    </w:p>
    <w:p>
      <w:pPr>
        <w:pStyle w:val="Normal"/>
        <w:ind w:start="360" w:end="0"/>
        <w:rPr/>
      </w:pPr>
      <w:r>
        <w:rPr/>
        <w:t>Enron Mauritius Company, a company organized under the laws of Mauritius (“Enron”)</w:t>
      </w:r>
    </w:p>
    <w:p>
      <w:pPr>
        <w:pStyle w:val="Normal"/>
        <w:rPr/>
      </w:pPr>
      <w:r>
        <w:rPr/>
      </w:r>
    </w:p>
    <w:p>
      <w:pPr>
        <w:pStyle w:val="Normal"/>
        <w:ind w:start="360" w:end="0"/>
        <w:rPr/>
      </w:pPr>
      <w:r>
        <w:rPr/>
        <w:t>Capital India Power Mauritius I, a company organized under the laws of Mauritius (“GE”)</w:t>
      </w:r>
    </w:p>
    <w:p>
      <w:pPr>
        <w:pStyle w:val="Normal"/>
        <w:rPr/>
      </w:pPr>
      <w:r>
        <w:rPr/>
      </w:r>
    </w:p>
    <w:p>
      <w:pPr>
        <w:pStyle w:val="Normal"/>
        <w:ind w:start="360" w:end="0"/>
        <w:rPr/>
      </w:pPr>
      <w:r>
        <w:rPr/>
        <w:t>Energy Enterprises (Mauritius) Company, a company organized under the laws of Mauritius (“Bechtel”)</w:t>
      </w:r>
    </w:p>
    <w:p>
      <w:pPr>
        <w:pStyle w:val="Normal"/>
        <w:rPr/>
      </w:pPr>
      <w:r>
        <w:rPr/>
      </w:r>
    </w:p>
    <w:p>
      <w:pPr>
        <w:pStyle w:val="Normal"/>
        <w:ind w:start="360" w:end="0"/>
        <w:rPr/>
      </w:pPr>
      <w:r>
        <w:rPr/>
        <w:t>The Ministry of Finance of the Government of India (“GOI”)</w:t>
      </w:r>
    </w:p>
    <w:p>
      <w:pPr>
        <w:pStyle w:val="Normal"/>
        <w:ind w:start="360" w:end="0"/>
        <w:rPr/>
      </w:pPr>
      <w:r>
        <w:rPr/>
      </w:r>
    </w:p>
    <w:p>
      <w:pPr>
        <w:pStyle w:val="Normal"/>
        <w:ind w:start="360" w:end="0"/>
        <w:rPr/>
      </w:pPr>
      <w:r>
        <w:rPr/>
        <w:t>Industrial Development Bank of India, on behalf of itself and the other Rupee Lenders (collectively, the “Indian Financial Institutions”) to the Project (as defined below)</w:t>
      </w:r>
    </w:p>
    <w:p>
      <w:pPr>
        <w:pStyle w:val="Normal"/>
        <w:rPr/>
      </w:pPr>
      <w:r>
        <w:rPr/>
      </w:r>
    </w:p>
    <w:p>
      <w:pPr>
        <w:pStyle w:val="Normal"/>
        <w:rPr/>
      </w:pPr>
      <w:r>
        <w:rPr/>
        <w:t>(together, the “Parties”).</w:t>
      </w:r>
    </w:p>
    <w:p>
      <w:pPr>
        <w:pStyle w:val="Normal"/>
        <w:rPr/>
      </w:pPr>
      <w:r>
        <w:rPr/>
      </w:r>
    </w:p>
    <w:p>
      <w:pPr>
        <w:pStyle w:val="Normal"/>
        <w:rPr/>
      </w:pPr>
      <w:r>
        <w:rPr/>
        <w:t>WHEREAS:</w:t>
      </w:r>
    </w:p>
    <w:p>
      <w:pPr>
        <w:pStyle w:val="Normal"/>
        <w:rPr/>
      </w:pPr>
      <w:r>
        <w:rPr/>
      </w:r>
    </w:p>
    <w:p>
      <w:pPr>
        <w:pStyle w:val="Normal"/>
        <w:numPr>
          <w:ilvl w:val="0"/>
          <w:numId w:val="2"/>
        </w:numPr>
        <w:rPr/>
      </w:pPr>
      <w:r>
        <w:rPr/>
        <w:t>Enron, GE and Bechtel (the “Offshore Sponsors”), on their own and through their affiliates, have made significant investments in Dabhol Power Company (“DPC”);</w:t>
      </w:r>
    </w:p>
    <w:p>
      <w:pPr>
        <w:pStyle w:val="Normal"/>
        <w:ind w:start="360" w:end="0"/>
        <w:rPr/>
      </w:pPr>
      <w:r>
        <w:rPr/>
      </w:r>
    </w:p>
    <w:p>
      <w:pPr>
        <w:pStyle w:val="Normal"/>
        <w:numPr>
          <w:ilvl w:val="0"/>
          <w:numId w:val="2"/>
        </w:numPr>
        <w:rPr/>
      </w:pPr>
      <w:r>
        <w:rPr/>
        <w:t>DPC was invited by the Government of India to develop, construct, own and operate a power station and LNG regasification facility (the “Project”) near the village of Dabhol in Maharashtra pursuant to a Power Purchase Agreement with the Maharashtra State Electricity Board (“MSEB”);</w:t>
      </w:r>
    </w:p>
    <w:p>
      <w:pPr>
        <w:pStyle w:val="Normal"/>
        <w:rPr/>
      </w:pPr>
      <w:r>
        <w:rPr/>
      </w:r>
    </w:p>
    <w:p>
      <w:pPr>
        <w:pStyle w:val="Normal"/>
        <w:numPr>
          <w:ilvl w:val="0"/>
          <w:numId w:val="2"/>
        </w:numPr>
        <w:rPr/>
      </w:pPr>
      <w:r>
        <w:rPr/>
        <w:t>After the Project was substantially complete, including Phase I becoming operational, the MSEB defaulted under the PPA by, among other defaults, non-payment under and repudiation of the PPA;</w:t>
      </w:r>
    </w:p>
    <w:p>
      <w:pPr>
        <w:pStyle w:val="Normal"/>
        <w:rPr/>
      </w:pPr>
      <w:r>
        <w:rPr/>
      </w:r>
    </w:p>
    <w:p>
      <w:pPr>
        <w:pStyle w:val="Normal"/>
        <w:numPr>
          <w:ilvl w:val="0"/>
          <w:numId w:val="2"/>
        </w:numPr>
        <w:rPr/>
      </w:pPr>
      <w:r>
        <w:rPr/>
        <w:t>The lenders to the Project have elected not to advance further funds to achieve completion of the Project due to, among other things, the defaults of MSEB under the PPA;</w:t>
      </w:r>
    </w:p>
    <w:p>
      <w:pPr>
        <w:pStyle w:val="Normal"/>
        <w:rPr/>
      </w:pPr>
      <w:r>
        <w:rPr/>
      </w:r>
    </w:p>
    <w:p>
      <w:pPr>
        <w:pStyle w:val="Normal"/>
        <w:numPr>
          <w:ilvl w:val="0"/>
          <w:numId w:val="2"/>
        </w:numPr>
        <w:rPr/>
      </w:pPr>
      <w:r>
        <w:rPr/>
        <w:t>The Offshore Sponsors wish to transfer their equity in DPC (the “Offshore Equity”) to the Indian Financial Institutions (“Buyer”) in consideration of payment of the Purchase Price (as defined below);</w:t>
      </w:r>
    </w:p>
    <w:p>
      <w:pPr>
        <w:pStyle w:val="Normal"/>
        <w:rPr/>
      </w:pPr>
      <w:r>
        <w:rPr/>
      </w:r>
    </w:p>
    <w:p>
      <w:pPr>
        <w:pStyle w:val="Normal"/>
        <w:numPr>
          <w:ilvl w:val="0"/>
          <w:numId w:val="2"/>
        </w:numPr>
        <w:rPr/>
      </w:pPr>
      <w:r>
        <w:rPr/>
        <w:t xml:space="preserve">The Buyer wishes to purchase the Offshore Equity; </w:t>
      </w:r>
    </w:p>
    <w:p>
      <w:pPr>
        <w:pStyle w:val="Normal"/>
        <w:rPr/>
      </w:pPr>
      <w:r>
        <w:rPr/>
      </w:r>
    </w:p>
    <w:p>
      <w:pPr>
        <w:pStyle w:val="Normal"/>
        <w:numPr>
          <w:ilvl w:val="0"/>
          <w:numId w:val="2"/>
        </w:numPr>
        <w:rPr/>
      </w:pPr>
      <w:r>
        <w:rPr/>
        <w:t xml:space="preserve">The Parties to this MOU have expressed a mutual intent to execute a definitive agreement or agreements whereby the terms and conditions of the sale and purchase of the Offshore Equity may be agreed; and  </w:t>
      </w:r>
    </w:p>
    <w:p>
      <w:pPr>
        <w:pStyle w:val="Normal"/>
        <w:rPr/>
      </w:pPr>
      <w:r>
        <w:rPr/>
      </w:r>
    </w:p>
    <w:p>
      <w:pPr>
        <w:pStyle w:val="Normal"/>
        <w:numPr>
          <w:ilvl w:val="0"/>
          <w:numId w:val="2"/>
        </w:numPr>
        <w:rPr/>
      </w:pPr>
      <w:r>
        <w:rPr/>
        <w:t>The Parties acknowledge that it is the intent of the Buyer to promptly sell the Offshore Equity to a third party private buyer after the closing (“Closing”) of the purchase and sale transaction contemplated by this MOU.</w:t>
      </w:r>
    </w:p>
    <w:p>
      <w:pPr>
        <w:pStyle w:val="Normal"/>
        <w:rPr/>
      </w:pPr>
      <w:r>
        <w:rPr/>
      </w:r>
    </w:p>
    <w:p>
      <w:pPr>
        <w:pStyle w:val="Normal"/>
        <w:rPr/>
      </w:pPr>
      <w:r>
        <w:rPr/>
      </w:r>
    </w:p>
    <w:p>
      <w:pPr>
        <w:pStyle w:val="Normal"/>
        <w:rPr/>
      </w:pPr>
      <w:r>
        <w:rPr/>
        <w:t>NOW IT IS HEREBY AGREED AS FOLLOWS:</w:t>
      </w:r>
    </w:p>
    <w:p>
      <w:pPr>
        <w:pStyle w:val="Normal"/>
        <w:rPr/>
      </w:pPr>
      <w:r>
        <w:rPr/>
      </w:r>
    </w:p>
    <w:p>
      <w:pPr>
        <w:pStyle w:val="Normal"/>
        <w:rPr/>
      </w:pPr>
      <w:r>
        <w:rPr/>
        <w:t>1.</w:t>
        <w:tab/>
        <w:t>Timetable and Term</w:t>
      </w:r>
    </w:p>
    <w:p>
      <w:pPr>
        <w:pStyle w:val="Normal"/>
        <w:rPr/>
      </w:pPr>
      <w:r>
        <w:rPr/>
      </w:r>
    </w:p>
    <w:p>
      <w:pPr>
        <w:pStyle w:val="Normal"/>
        <w:ind w:start="720" w:end="0"/>
        <w:rPr/>
      </w:pPr>
      <w:r>
        <w:rPr/>
        <w:t>The Parties shall proceed in good faith to secure a definitive share purchase and sale agreement (the “Definitive Agreement”) for execution by the Parties on or before 30 November 2001.  It is recognized by the Parties that time is of the essence in implementing the arrangements contemplated by this MOU.  Any Party shall have the right to terminate this MOU by serving written notice to that effect on the other Parties at any time after 30 November 2001, or such other date as has been mutually agreed upon in writing by the Parties, if the Definitive Agreement has not been executed by such date, whereupon the provisions of this MOU shall be of no further effect.</w:t>
      </w:r>
    </w:p>
    <w:p>
      <w:pPr>
        <w:pStyle w:val="Normal"/>
        <w:ind w:start="1440" w:end="0"/>
        <w:rPr/>
      </w:pPr>
      <w:r>
        <w:rPr/>
      </w:r>
    </w:p>
    <w:p>
      <w:pPr>
        <w:pStyle w:val="Normal"/>
        <w:ind w:start="1440" w:end="0"/>
        <w:rPr/>
      </w:pPr>
      <w:r>
        <w:rPr/>
      </w:r>
    </w:p>
    <w:p>
      <w:pPr>
        <w:pStyle w:val="Normal"/>
        <w:rPr/>
      </w:pPr>
      <w:r>
        <w:rPr/>
        <w:t>2.</w:t>
        <w:tab/>
        <w:t>Contents of Definitive Agreement</w:t>
      </w:r>
    </w:p>
    <w:p>
      <w:pPr>
        <w:pStyle w:val="Normal"/>
        <w:rPr/>
      </w:pPr>
      <w:r>
        <w:rPr/>
      </w:r>
    </w:p>
    <w:p>
      <w:pPr>
        <w:pStyle w:val="BodyTextIndent"/>
        <w:rPr/>
      </w:pPr>
      <w:r>
        <w:rPr/>
        <w:tab/>
        <w:t>The Parties shall seek mutually acceptable terms in the Definitive Agreement consistent with this MOU.  It is acknowledged by the Parties that these terms will (inter alia) include the following principles:</w:t>
      </w:r>
    </w:p>
    <w:p>
      <w:pPr>
        <w:pStyle w:val="Normal"/>
        <w:ind w:hanging="720" w:start="720" w:end="0"/>
        <w:rPr/>
      </w:pPr>
      <w:r>
        <w:rPr/>
      </w:r>
    </w:p>
    <w:p>
      <w:pPr>
        <w:pStyle w:val="Normal"/>
        <w:numPr>
          <w:ilvl w:val="1"/>
          <w:numId w:val="1"/>
        </w:numPr>
        <w:rPr/>
      </w:pPr>
      <w:r>
        <w:rPr/>
        <w:t>Equity Purchase</w:t>
      </w:r>
    </w:p>
    <w:p>
      <w:pPr>
        <w:pStyle w:val="Normal"/>
        <w:ind w:start="720" w:end="0"/>
        <w:rPr/>
      </w:pPr>
      <w:r>
        <w:rPr/>
      </w:r>
    </w:p>
    <w:p>
      <w:pPr>
        <w:pStyle w:val="Normal"/>
        <w:ind w:start="1440" w:end="0"/>
        <w:rPr/>
      </w:pPr>
      <w:r>
        <w:rPr/>
        <w:t>The Buyer will purchase all of the Offshore Equity and all of the Offshore Sponsors’ other rights, title and interest in and to the Project for a purchase price (“Purchase Price”) equal to [____________]. The purchase price will be paid as follows:  (i) [_____________] paid in cash at the Closing and (ii) a dollar-denominated promissory note with a face value of  [__________] issued by the Buyer payable in full in equal annual payments over [____] years [tenor of the note will be dependent upon the total amount of the Purchase Price] after the date of the Closing (“Promissory Note”).  The Purchase Price will be paid net of all applicable Indian taxes.  The Promissory Note issued by Buyer as consideration will be unconditionally guaranteed by the GOI, with such guarantee to be in form and substance acceptable to the Offshore Sponsors.  The Promissory Note shall bear interest at a rate per annum equal to the rate charged to DPC by the Project lenders for dollar-denominated debt as of the date of such Promissory Note.  The Promissory Note will be governed by New York law and will provide for payment in New York.</w:t>
      </w:r>
    </w:p>
    <w:p>
      <w:pPr>
        <w:pStyle w:val="Normal"/>
        <w:rPr/>
      </w:pPr>
      <w:r>
        <w:rPr/>
      </w:r>
    </w:p>
    <w:p>
      <w:pPr>
        <w:pStyle w:val="Normal"/>
        <w:ind w:start="720" w:end="0"/>
        <w:rPr/>
      </w:pPr>
      <w:r>
        <w:rPr/>
      </w:r>
    </w:p>
    <w:p>
      <w:pPr>
        <w:pStyle w:val="Normal"/>
        <w:ind w:start="720" w:end="0"/>
        <w:rPr/>
      </w:pPr>
      <w:r>
        <w:rPr/>
        <w:t>2.2</w:t>
        <w:tab/>
        <w:t>Condition Precedent</w:t>
      </w:r>
    </w:p>
    <w:p>
      <w:pPr>
        <w:pStyle w:val="Normal"/>
        <w:rPr/>
      </w:pPr>
      <w:r>
        <w:rPr/>
      </w:r>
    </w:p>
    <w:p>
      <w:pPr>
        <w:pStyle w:val="BodyTextIndent2"/>
        <w:ind w:start="1440" w:end="0"/>
        <w:rPr/>
      </w:pPr>
      <w:r>
        <w:rPr/>
        <w:t>The effectiveness of the Definitive Agreement will be conditioned upon the receipt of necessary consents of Project lenders to the Definitive Agreement and the transactions contemplated thereby on terms reasonably acceptable to the Parties, which condition precedent shall be satisfied or waived on or before 31 January 2002 or the Definitive Agreement shall terminate and shall be of no further force and effect.</w:t>
      </w:r>
    </w:p>
    <w:p>
      <w:pPr>
        <w:pStyle w:val="Normal"/>
        <w:rPr/>
      </w:pPr>
      <w:r>
        <w:rPr/>
      </w:r>
    </w:p>
    <w:p>
      <w:pPr>
        <w:pStyle w:val="Normal"/>
        <w:ind w:firstLine="720" w:end="0"/>
        <w:rPr/>
      </w:pPr>
      <w:r>
        <w:rPr/>
      </w:r>
    </w:p>
    <w:p>
      <w:pPr>
        <w:pStyle w:val="Normal"/>
        <w:ind w:firstLine="720" w:end="0"/>
        <w:rPr/>
      </w:pPr>
      <w:r>
        <w:rPr/>
        <w:t>2.3</w:t>
        <w:tab/>
        <w:t>Covenants</w:t>
      </w:r>
    </w:p>
    <w:p>
      <w:pPr>
        <w:pStyle w:val="Normal"/>
        <w:rPr/>
      </w:pPr>
      <w:r>
        <w:rPr/>
      </w:r>
    </w:p>
    <w:p>
      <w:pPr>
        <w:pStyle w:val="BodyTextIndent2"/>
        <w:ind w:firstLine="720" w:end="0"/>
        <w:rPr/>
      </w:pPr>
      <w:r>
        <w:rPr/>
        <w:t>The Definitive Agreement will include the following covenants:</w:t>
      </w:r>
    </w:p>
    <w:p>
      <w:pPr>
        <w:pStyle w:val="Normal"/>
        <w:rPr/>
      </w:pPr>
      <w:r>
        <w:rPr/>
      </w:r>
    </w:p>
    <w:p>
      <w:pPr>
        <w:pStyle w:val="Normal"/>
        <w:numPr>
          <w:ilvl w:val="0"/>
          <w:numId w:val="3"/>
        </w:numPr>
        <w:rPr/>
      </w:pPr>
      <w:r>
        <w:rPr/>
        <w:t>The Offshore Sponsors will endeavor in good faith to satisfy the conditions precedent set forth above.</w:t>
      </w:r>
    </w:p>
    <w:p>
      <w:pPr>
        <w:pStyle w:val="Normal"/>
        <w:rPr/>
      </w:pPr>
      <w:r>
        <w:rPr/>
      </w:r>
    </w:p>
    <w:p>
      <w:pPr>
        <w:pStyle w:val="Normal"/>
        <w:numPr>
          <w:ilvl w:val="0"/>
          <w:numId w:val="3"/>
        </w:numPr>
        <w:rPr/>
      </w:pPr>
      <w:r>
        <w:rPr/>
        <w:t>GOI and the Buyer will endeavor in good faith to satisfy the conditions precedent set forth above.</w:t>
      </w:r>
    </w:p>
    <w:p>
      <w:pPr>
        <w:pStyle w:val="Normal"/>
        <w:rPr/>
      </w:pPr>
      <w:r>
        <w:rPr/>
      </w:r>
    </w:p>
    <w:p>
      <w:pPr>
        <w:pStyle w:val="Normal"/>
        <w:numPr>
          <w:ilvl w:val="0"/>
          <w:numId w:val="3"/>
        </w:numPr>
        <w:rPr/>
      </w:pPr>
      <w:r>
        <w:rPr/>
        <w:t>GOI and the Buyer will ensure the receipt of all necessary approvals and consents of all central, state and other government authorities and entities required for the sale of the Offshore Equity and the payment of the Purchase Price to the Offshore Sponsors (“Necessary Approvals”).</w:t>
      </w:r>
    </w:p>
    <w:p>
      <w:pPr>
        <w:pStyle w:val="Normal"/>
        <w:rPr/>
      </w:pPr>
      <w:r>
        <w:rPr/>
      </w:r>
    </w:p>
    <w:p>
      <w:pPr>
        <w:pStyle w:val="Normal"/>
        <w:numPr>
          <w:ilvl w:val="0"/>
          <w:numId w:val="3"/>
        </w:numPr>
        <w:rPr/>
      </w:pPr>
      <w:r>
        <w:rPr/>
        <w:t>The Offshore Sponsors will cause DPC to apply for, and file all necessary documentation in support of, all of the Necessary Approvals.</w:t>
      </w:r>
    </w:p>
    <w:p>
      <w:pPr>
        <w:pStyle w:val="Normal"/>
        <w:rPr/>
      </w:pPr>
      <w:r>
        <w:rPr/>
      </w:r>
    </w:p>
    <w:p>
      <w:pPr>
        <w:pStyle w:val="Normal"/>
        <w:numPr>
          <w:ilvl w:val="0"/>
          <w:numId w:val="3"/>
        </w:numPr>
        <w:rPr/>
      </w:pPr>
      <w:r>
        <w:rPr/>
        <w:t xml:space="preserve">The Offshore Sponsors will cause DPC to provide the services of up to three (3) current DPC employees for a one-year period to (i) assist in the transition of the ownership and operation of DPC to the Buyer and (ii) assist in the sale of DPC by the Buyer to a private third party buyer. </w:t>
      </w:r>
    </w:p>
    <w:p>
      <w:pPr>
        <w:pStyle w:val="Normal"/>
        <w:rPr/>
      </w:pPr>
      <w:r>
        <w:rPr/>
      </w:r>
    </w:p>
    <w:p>
      <w:pPr>
        <w:pStyle w:val="Normal"/>
        <w:rPr/>
      </w:pPr>
      <w:r>
        <w:rPr/>
      </w:r>
      <w:r>
        <w:br w:type="page"/>
      </w:r>
    </w:p>
    <w:p>
      <w:pPr>
        <w:pStyle w:val="Normal"/>
        <w:rPr/>
      </w:pPr>
      <w:r>
        <w:rPr/>
        <w:t>3.</w:t>
        <w:tab/>
        <w:t>Governing Law and Dispute Resolution</w:t>
      </w:r>
    </w:p>
    <w:p>
      <w:pPr>
        <w:pStyle w:val="Normal"/>
        <w:rPr/>
      </w:pPr>
      <w:r>
        <w:rPr/>
      </w:r>
    </w:p>
    <w:p>
      <w:pPr>
        <w:pStyle w:val="Normal"/>
        <w:rPr/>
      </w:pPr>
      <w:r>
        <w:rPr/>
        <w:t xml:space="preserve">This MOU shall be governed by the laws of England.  Any disputes arising under this MOU shall be settled in accordance with the UNCITRAL rules of arbitration in London, England.  </w:t>
      </w:r>
    </w:p>
    <w:p>
      <w:pPr>
        <w:pStyle w:val="Normal"/>
        <w:rPr/>
      </w:pPr>
      <w:r>
        <w:rPr/>
      </w:r>
    </w:p>
    <w:p>
      <w:pPr>
        <w:pStyle w:val="Normal"/>
        <w:rPr/>
      </w:pPr>
      <w:r>
        <w:rPr/>
        <w:t>4.</w:t>
        <w:tab/>
        <w:t>Existing Rights</w:t>
      </w:r>
    </w:p>
    <w:p>
      <w:pPr>
        <w:pStyle w:val="Normal"/>
        <w:rPr/>
      </w:pPr>
      <w:r>
        <w:rPr/>
      </w:r>
    </w:p>
    <w:p>
      <w:pPr>
        <w:pStyle w:val="Normal"/>
        <w:rPr/>
      </w:pPr>
      <w:r>
        <w:rPr/>
        <w:t>This MOU shall be without prejudice to the existing rights, obligations and claims of the Parties and nothing herein shall be construed as amendment or waiver of any such rights, obligations or claims.</w:t>
      </w:r>
    </w:p>
    <w:p>
      <w:pPr>
        <w:pStyle w:val="Normal"/>
        <w:rPr/>
      </w:pPr>
      <w:r>
        <w:rPr/>
      </w:r>
    </w:p>
    <w:p>
      <w:pPr>
        <w:pStyle w:val="Normal"/>
        <w:rPr/>
      </w:pPr>
      <w:r>
        <w:rPr/>
        <w:t xml:space="preserve">5. </w:t>
        <w:tab/>
        <w:t>Entire Agreement</w:t>
      </w:r>
    </w:p>
    <w:p>
      <w:pPr>
        <w:pStyle w:val="Normal"/>
        <w:rPr/>
      </w:pPr>
      <w:r>
        <w:rPr/>
      </w:r>
    </w:p>
    <w:p>
      <w:pPr>
        <w:pStyle w:val="Normal"/>
        <w:rPr/>
      </w:pPr>
      <w:r>
        <w:rPr/>
        <w:t>This MOU supersedes all prior agreements and undertakings, oral or written, among the Parties with respect to the subject matter of this MOU.</w:t>
      </w:r>
    </w:p>
    <w:p>
      <w:pPr>
        <w:pStyle w:val="Normal"/>
        <w:rPr/>
      </w:pPr>
      <w:r>
        <w:rPr/>
      </w:r>
    </w:p>
    <w:p>
      <w:pPr>
        <w:pStyle w:val="Normal"/>
        <w:rPr/>
      </w:pPr>
      <w:r>
        <w:rPr/>
        <w:t xml:space="preserve">6. </w:t>
        <w:tab/>
        <w:t>Waiver of Sovereign Immunity</w:t>
      </w:r>
    </w:p>
    <w:p>
      <w:pPr>
        <w:pStyle w:val="Normal"/>
        <w:rPr/>
      </w:pPr>
      <w:r>
        <w:rPr/>
      </w:r>
    </w:p>
    <w:p>
      <w:pPr>
        <w:pStyle w:val="Normal"/>
        <w:rPr/>
      </w:pPr>
      <w:r>
        <w:rPr/>
        <w:t>Each Party to this MOU irrevocably and unconditionally waives any defense to the validity or enforcement of this MOU based upon principles of sovereign immunity to the extent such defense may be available under any applicable law.</w:t>
      </w:r>
    </w:p>
    <w:p>
      <w:pPr>
        <w:pStyle w:val="Normal"/>
        <w:rPr/>
      </w:pPr>
      <w:r>
        <w:rPr/>
      </w:r>
    </w:p>
    <w:p>
      <w:pPr>
        <w:pStyle w:val="Normal"/>
        <w:rPr/>
      </w:pPr>
      <w:r>
        <w:rPr/>
        <w:t>IN WITNESS WHEREOF THE PARTIES HAVE DULY EXECUTED THIS MOU ON THE DATE FIRST WRITTEN ABOVE</w:t>
      </w:r>
    </w:p>
    <w:p>
      <w:pPr>
        <w:pStyle w:val="Normal"/>
        <w:rPr/>
      </w:pPr>
      <w:r>
        <w:rPr/>
      </w:r>
    </w:p>
    <w:p>
      <w:pPr>
        <w:pStyle w:val="Normal"/>
        <w:rPr/>
      </w:pPr>
      <w:r>
        <w:rPr/>
        <w:t xml:space="preserve">The Ministry of Finance of </w:t>
        <w:tab/>
        <w:tab/>
        <w:tab/>
        <w:t>Enron Mauritius Company</w:t>
      </w:r>
    </w:p>
    <w:p>
      <w:pPr>
        <w:pStyle w:val="Normal"/>
        <w:rPr/>
      </w:pPr>
      <w:r>
        <w:rPr/>
        <w:t>the Government of India</w:t>
      </w:r>
    </w:p>
    <w:p>
      <w:pPr>
        <w:pStyle w:val="Normal"/>
        <w:rPr/>
      </w:pPr>
      <w:r>
        <w:rPr/>
      </w:r>
    </w:p>
    <w:p>
      <w:pPr>
        <w:pStyle w:val="Normal"/>
        <w:rPr/>
      </w:pPr>
      <w:r>
        <w:rPr/>
        <w:t>By:_______________________</w:t>
        <w:tab/>
        <w:tab/>
        <w:t>By:_________________________</w:t>
      </w:r>
    </w:p>
    <w:p>
      <w:pPr>
        <w:pStyle w:val="Normal"/>
        <w:rPr/>
      </w:pPr>
      <w:r>
        <w:rPr/>
        <w:t>Its:_______________________</w:t>
        <w:tab/>
        <w:tab/>
        <w:t>Its:_________________________</w:t>
      </w:r>
    </w:p>
    <w:p>
      <w:pPr>
        <w:pStyle w:val="Normal"/>
        <w:rPr/>
      </w:pPr>
      <w:r>
        <w:rPr/>
      </w:r>
    </w:p>
    <w:p>
      <w:pPr>
        <w:pStyle w:val="Normal"/>
        <w:rPr/>
      </w:pPr>
      <w:r>
        <w:rPr/>
      </w:r>
    </w:p>
    <w:p>
      <w:pPr>
        <w:pStyle w:val="Normal"/>
        <w:rPr/>
      </w:pPr>
      <w:r>
        <w:rPr/>
        <w:t>Capital India Power Mauritius I</w:t>
        <w:tab/>
        <w:tab/>
        <w:t>Energy Enterprises (Mauritius) Company</w:t>
      </w:r>
    </w:p>
    <w:p>
      <w:pPr>
        <w:pStyle w:val="Normal"/>
        <w:rPr/>
      </w:pPr>
      <w:r>
        <w:rPr/>
      </w:r>
    </w:p>
    <w:p>
      <w:pPr>
        <w:pStyle w:val="Normal"/>
        <w:rPr/>
      </w:pPr>
      <w:r>
        <w:rPr/>
      </w:r>
    </w:p>
    <w:p>
      <w:pPr>
        <w:pStyle w:val="Normal"/>
        <w:rPr/>
      </w:pPr>
      <w:r>
        <w:rPr/>
        <w:t>By:_______________________</w:t>
        <w:tab/>
        <w:tab/>
        <w:t>By:_________________________</w:t>
      </w:r>
    </w:p>
    <w:p>
      <w:pPr>
        <w:pStyle w:val="Normal"/>
        <w:rPr/>
      </w:pPr>
      <w:r>
        <w:rPr/>
        <w:t>Its:_______________________</w:t>
        <w:tab/>
        <w:tab/>
        <w:t>Its:_________________________</w:t>
      </w:r>
    </w:p>
    <w:p>
      <w:pPr>
        <w:pStyle w:val="Normal"/>
        <w:rPr/>
      </w:pPr>
      <w:r>
        <w:rPr/>
      </w:r>
    </w:p>
    <w:p>
      <w:pPr>
        <w:pStyle w:val="Normal"/>
        <w:rPr/>
      </w:pPr>
      <w:r>
        <w:rPr/>
        <w:t>Industrial Development Bank of India,</w:t>
      </w:r>
    </w:p>
    <w:p>
      <w:pPr>
        <w:pStyle w:val="Normal"/>
        <w:rPr/>
      </w:pPr>
      <w:r>
        <w:rPr/>
        <w:t xml:space="preserve">on behalf of itself and the other Rupee </w:t>
      </w:r>
    </w:p>
    <w:p>
      <w:pPr>
        <w:pStyle w:val="Normal"/>
        <w:rPr/>
      </w:pPr>
      <w:r>
        <w:rPr/>
        <w:t>Lenders to the Project</w:t>
        <w:tab/>
        <w:tab/>
      </w:r>
    </w:p>
    <w:p>
      <w:pPr>
        <w:pStyle w:val="Normal"/>
        <w:rPr/>
      </w:pPr>
      <w:r>
        <w:rPr/>
      </w:r>
    </w:p>
    <w:p>
      <w:pPr>
        <w:pStyle w:val="Normal"/>
        <w:rPr/>
      </w:pPr>
      <w:r>
        <w:rPr/>
      </w:r>
    </w:p>
    <w:p>
      <w:pPr>
        <w:pStyle w:val="Normal"/>
        <w:rPr/>
      </w:pPr>
      <w:r>
        <w:rPr/>
        <w:t>By:_______________________</w:t>
        <w:tab/>
        <w:tab/>
        <w:tab/>
      </w:r>
    </w:p>
    <w:p>
      <w:pPr>
        <w:pStyle w:val="Normal"/>
        <w:rPr/>
      </w:pPr>
      <w:r>
        <w:rPr/>
        <w:t>Its:_______________________</w:t>
        <w:tab/>
        <w:tab/>
        <w:tab/>
      </w:r>
    </w:p>
    <w:sectPr>
      <w:footerReference w:type="default" r:id="rId2"/>
      <w:footerReference w:type="first" r:id="rId3"/>
      <w:type w:val="nextPage"/>
      <w:pgSz w:w="12240" w:h="15840"/>
      <w:pgMar w:left="1800" w:right="180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
    <w:lvl w:ilvl="0">
      <w:start w:val="1"/>
      <w:numFmt w:val="upperLetter"/>
      <w:lvlText w:val="(%1)"/>
      <w:lvlJc w:val="start"/>
      <w:pPr>
        <w:tabs>
          <w:tab w:val="num" w:pos="1080"/>
        </w:tabs>
        <w:ind w:start="1080" w:hanging="72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2001-10-25T07:54:00Z</dcterms:created>
  <dc:creator>blundst</dc:creator>
  <dc:description/>
  <dc:language>en-CA</dc:language>
  <cp:lastModifiedBy>K. Wade Cline</cp:lastModifiedBy>
  <cp:lastPrinted>2001-10-25T15:54:00Z</cp:lastPrinted>
  <dcterms:modified xsi:type="dcterms:W3CDTF">2001-10-25T07:55:00Z</dcterms:modified>
  <cp:revision>3</cp:revision>
  <dc:subject/>
  <dc:title>Government of India</dc:title>
</cp:coreProperties>
</file>